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Day_4_Dynamic_Components.pdf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852.275390625" w:top="1403.154296875" w:left="1440" w:right="1479.90600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cc0nrWV509v4UdtCJac9WojyH-j19HX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