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1925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141095" cy="1141095"/>
            <wp:effectExtent l="0" t="0" r="1270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
                    <a:stretch>
                      <a:fillRect/>
                    </a:stretch>
                  </pic:blipFill>
                  <pic:spPr>
                    <a:xfrm>
                      <a:off x="0" y="0"/>
                      <a:ext cx="1141095" cy="1141095"/>
                    </a:xfrm>
                    <a:prstGeom prst="rect">
                      <a:avLst/>
                    </a:prstGeom>
                    <a:noFill/>
                    <a:ln>
                      <a:noFill/>
                    </a:ln>
                  </pic:spPr>
                </pic:pic>
              </a:graphicData>
            </a:graphic>
          </wp:inline>
        </w:drawing>
      </w:r>
    </w:p>
    <w:p w14:paraId="2DF26084">
      <w:pPr>
        <w:jc w:val="center"/>
        <w:rPr>
          <w:rFonts w:hint="default" w:ascii="Times New Roman" w:hAnsi="Times New Roman" w:cs="Times New Roman"/>
        </w:rPr>
      </w:pPr>
    </w:p>
    <w:p w14:paraId="44C480C9">
      <w:pPr>
        <w:spacing w:beforeLines="0" w:afterLines="0"/>
        <w:jc w:val="center"/>
        <w:rPr>
          <w:rFonts w:hint="default" w:ascii="Times New Roman" w:hAnsi="Times New Roman" w:cs="Times New Roman"/>
          <w:b/>
          <w:bCs/>
          <w:color w:val="2E75B6" w:themeColor="accent1" w:themeShade="BF"/>
          <w:sz w:val="24"/>
          <w:szCs w:val="24"/>
          <w:lang w:val="en-US"/>
        </w:rPr>
      </w:pPr>
      <w:r>
        <w:rPr>
          <w:rFonts w:hint="default" w:ascii="Times New Roman" w:hAnsi="Times New Roman" w:cs="Times New Roman"/>
          <w:b/>
          <w:bCs/>
          <w:color w:val="2E75B6" w:themeColor="accent1" w:themeShade="BF"/>
          <w:sz w:val="24"/>
          <w:szCs w:val="24"/>
          <w:lang w:val="en-US"/>
        </w:rPr>
        <w:t>Data Visualization Trainee Early Internship - Sub-Group 27</w:t>
      </w:r>
    </w:p>
    <w:p w14:paraId="2253CF3C">
      <w:pPr>
        <w:jc w:val="center"/>
        <w:rPr>
          <w:rFonts w:hint="default" w:ascii="Times New Roman" w:hAnsi="Times New Roman" w:cs="Times New Roman"/>
          <w:b/>
          <w:bCs/>
          <w:color w:val="C00000"/>
          <w:sz w:val="28"/>
          <w:szCs w:val="28"/>
          <w:lang w:val="en-US"/>
        </w:rPr>
      </w:pPr>
    </w:p>
    <w:p w14:paraId="7556D238">
      <w:pPr>
        <w:jc w:val="center"/>
        <w:rPr>
          <w:rFonts w:hint="default" w:ascii="Times New Roman" w:hAnsi="Times New Roman" w:cs="Times New Roman"/>
          <w:b/>
          <w:bCs/>
          <w:color w:val="C00000"/>
          <w:sz w:val="28"/>
          <w:szCs w:val="28"/>
          <w:lang w:val="en-US"/>
        </w:rPr>
      </w:pPr>
      <w:r>
        <w:rPr>
          <w:rFonts w:hint="default" w:ascii="Times New Roman" w:hAnsi="Times New Roman" w:cs="Times New Roman"/>
          <w:b/>
          <w:bCs/>
          <w:color w:val="C00000"/>
          <w:sz w:val="28"/>
          <w:szCs w:val="28"/>
          <w:lang w:val="en-US"/>
        </w:rPr>
        <w:t>Week-2 Final Report</w:t>
      </w:r>
    </w:p>
    <w:p w14:paraId="36177F51">
      <w:pPr>
        <w:jc w:val="center"/>
        <w:rPr>
          <w:rFonts w:hint="default" w:ascii="Times New Roman" w:hAnsi="Times New Roman" w:cs="Times New Roman"/>
          <w:b/>
          <w:bCs/>
          <w:color w:val="C00000"/>
          <w:sz w:val="28"/>
          <w:szCs w:val="28"/>
          <w:lang w:val="en-US"/>
        </w:rPr>
      </w:pPr>
    </w:p>
    <w:p w14:paraId="3E632202">
      <w:pPr>
        <w:jc w:val="center"/>
        <w:rPr>
          <w:rFonts w:hint="default" w:ascii="Times New Roman" w:hAnsi="Times New Roman" w:cs="Times New Roman"/>
          <w:b/>
          <w:bCs/>
          <w:color w:val="287976"/>
          <w:sz w:val="32"/>
          <w:szCs w:val="32"/>
          <w:lang w:val="en-US"/>
        </w:rPr>
      </w:pPr>
      <w:r>
        <w:rPr>
          <w:rFonts w:hint="default" w:ascii="Times New Roman" w:hAnsi="Times New Roman" w:cs="Times New Roman"/>
          <w:b/>
          <w:bCs/>
          <w:color w:val="287976"/>
          <w:sz w:val="32"/>
          <w:szCs w:val="32"/>
          <w:lang w:val="en-US"/>
        </w:rPr>
        <w:t>Report Title: “Week-2: Exploratory Data Analysis and Dashboard Development on Outreach Campaign Data”</w:t>
      </w:r>
    </w:p>
    <w:p w14:paraId="59A89782">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7F385A4D">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7582EC60">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0B667455">
      <w:pPr>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Associate Members:</w:t>
      </w:r>
    </w:p>
    <w:p w14:paraId="3197FA22">
      <w:pPr>
        <w:jc w:val="center"/>
        <w:rPr>
          <w:rFonts w:hint="default" w:ascii="Times New Roman" w:hAnsi="Times New Roman" w:cs="Times New Roman"/>
          <w:b/>
          <w:bCs/>
          <w:color w:val="000000" w:themeColor="text1"/>
          <w:sz w:val="28"/>
          <w:szCs w:val="28"/>
          <w:lang w:val="en-US"/>
          <w14:textFill>
            <w14:solidFill>
              <w14:schemeClr w14:val="tx1"/>
            </w14:solidFill>
          </w14:textFill>
        </w:rPr>
      </w:pPr>
    </w:p>
    <w:tbl>
      <w:tblPr>
        <w:tblStyle w:val="5"/>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6"/>
        <w:gridCol w:w="3964"/>
      </w:tblGrid>
      <w:tr w14:paraId="7E1F2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2251" w:type="dxa"/>
            <w:tcBorders>
              <w:top w:val="single" w:color="auto" w:sz="4" w:space="0"/>
              <w:left w:val="single" w:color="auto" w:sz="0" w:space="0"/>
              <w:bottom w:val="single" w:color="auto" w:sz="4" w:space="0"/>
              <w:right w:val="single" w:color="auto" w:sz="4" w:space="0"/>
            </w:tcBorders>
            <w:shd w:val="clear" w:color="auto" w:fill="auto"/>
            <w:vAlign w:val="center"/>
          </w:tcPr>
          <w:p w14:paraId="4F758036">
            <w:pPr>
              <w:keepNext w:val="0"/>
              <w:keepLines w:val="0"/>
              <w:widowControl/>
              <w:suppressLineNumbers w:val="0"/>
              <w:jc w:val="center"/>
              <w:rPr>
                <w:rFonts w:hint="default" w:ascii="Times New Roman" w:hAnsi="Times New Roman" w:cs="Times New Roman"/>
                <w:b/>
                <w:bCs/>
                <w:color w:val="2F5597" w:themeColor="accent5" w:themeShade="BF"/>
                <w:sz w:val="21"/>
                <w:szCs w:val="21"/>
              </w:rPr>
            </w:pPr>
            <w:r>
              <w:rPr>
                <w:rFonts w:hint="default" w:ascii="Times New Roman" w:hAnsi="Times New Roman" w:eastAsia="SimSun" w:cs="Times New Roman"/>
                <w:b/>
                <w:bCs/>
                <w:color w:val="2F5597" w:themeColor="accent5" w:themeShade="BF"/>
                <w:kern w:val="0"/>
                <w:sz w:val="28"/>
                <w:szCs w:val="28"/>
                <w:lang w:val="en-US" w:eastAsia="zh-CN" w:bidi="ar"/>
              </w:rPr>
              <w:t>Name</w:t>
            </w:r>
          </w:p>
        </w:tc>
        <w:tc>
          <w:tcPr>
            <w:tcW w:w="3919" w:type="dxa"/>
            <w:tcBorders>
              <w:top w:val="single" w:color="auto" w:sz="4" w:space="0"/>
              <w:left w:val="single" w:color="auto" w:sz="4" w:space="0"/>
              <w:bottom w:val="single" w:color="auto" w:sz="4" w:space="0"/>
              <w:right w:val="single" w:color="auto" w:sz="4" w:space="0"/>
            </w:tcBorders>
            <w:shd w:val="clear" w:color="auto" w:fill="auto"/>
            <w:vAlign w:val="center"/>
          </w:tcPr>
          <w:p w14:paraId="7C5A2ECA">
            <w:pPr>
              <w:keepNext w:val="0"/>
              <w:keepLines w:val="0"/>
              <w:widowControl/>
              <w:suppressLineNumbers w:val="0"/>
              <w:jc w:val="center"/>
              <w:rPr>
                <w:rFonts w:hint="default" w:ascii="Times New Roman" w:hAnsi="Times New Roman" w:cs="Times New Roman"/>
                <w:b/>
                <w:bCs/>
                <w:color w:val="2F5597" w:themeColor="accent5" w:themeShade="BF"/>
                <w:sz w:val="21"/>
                <w:szCs w:val="21"/>
              </w:rPr>
            </w:pPr>
            <w:r>
              <w:rPr>
                <w:rFonts w:hint="default" w:ascii="Times New Roman" w:hAnsi="Times New Roman" w:eastAsia="SimSun" w:cs="Times New Roman"/>
                <w:b/>
                <w:bCs/>
                <w:color w:val="2F5597" w:themeColor="accent5" w:themeShade="BF"/>
                <w:kern w:val="0"/>
                <w:sz w:val="28"/>
                <w:szCs w:val="28"/>
                <w:lang w:val="en-US" w:eastAsia="zh-CN" w:bidi="ar"/>
              </w:rPr>
              <w:t>Email</w:t>
            </w:r>
          </w:p>
        </w:tc>
      </w:tr>
      <w:tr w14:paraId="6FFC5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251" w:type="dxa"/>
            <w:tcBorders>
              <w:top w:val="single" w:color="auto" w:sz="4" w:space="0"/>
              <w:left w:val="single" w:color="auto" w:sz="4" w:space="0"/>
              <w:bottom w:val="single" w:color="auto" w:sz="4" w:space="0"/>
              <w:right w:val="single" w:color="auto" w:sz="4" w:space="0"/>
            </w:tcBorders>
            <w:shd w:val="clear" w:color="auto" w:fill="auto"/>
            <w:vAlign w:val="center"/>
          </w:tcPr>
          <w:p w14:paraId="5ACBAC58">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t>Kolawole Oparinde</w:t>
            </w:r>
          </w:p>
        </w:tc>
        <w:tc>
          <w:tcPr>
            <w:tcW w:w="3919" w:type="dxa"/>
            <w:tcBorders>
              <w:top w:val="single" w:color="auto" w:sz="4" w:space="0"/>
              <w:left w:val="single" w:color="auto" w:sz="4" w:space="0"/>
              <w:bottom w:val="single" w:color="auto" w:sz="4" w:space="0"/>
              <w:right w:val="single" w:color="auto" w:sz="4" w:space="0"/>
            </w:tcBorders>
            <w:shd w:val="clear" w:color="auto" w:fill="auto"/>
            <w:vAlign w:val="center"/>
          </w:tcPr>
          <w:p w14:paraId="424BBDDF">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"mailto:kolawole@vempower.org" </w:instrText>
            </w:r>
            <w:r>
              <w:rPr>
                <w:rFonts w:hint="default" w:ascii="Times New Roman" w:hAnsi="Times New Roman" w:eastAsia="SimSun" w:cs="Times New Roman"/>
                <w:kern w:val="0"/>
                <w:sz w:val="28"/>
                <w:szCs w:val="28"/>
                <w:lang w:val="en-US" w:eastAsia="zh-CN" w:bidi="ar"/>
              </w:rPr>
              <w:fldChar w:fldCharType="separate"/>
            </w:r>
            <w:r>
              <w:rPr>
                <w:rStyle w:val="8"/>
                <w:rFonts w:hint="default" w:ascii="Times New Roman" w:hAnsi="Times New Roman" w:eastAsia="SimSun" w:cs="Times New Roman"/>
                <w:sz w:val="28"/>
                <w:szCs w:val="28"/>
              </w:rPr>
              <w:t>kolawole@vempower.org</w:t>
            </w:r>
            <w:r>
              <w:rPr>
                <w:rFonts w:hint="default" w:ascii="Times New Roman" w:hAnsi="Times New Roman" w:eastAsia="SimSun" w:cs="Times New Roman"/>
                <w:kern w:val="0"/>
                <w:sz w:val="28"/>
                <w:szCs w:val="28"/>
                <w:lang w:val="en-US" w:eastAsia="zh-CN" w:bidi="ar"/>
              </w:rPr>
              <w:fldChar w:fldCharType="end"/>
            </w:r>
          </w:p>
        </w:tc>
      </w:tr>
      <w:tr w14:paraId="18947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251" w:type="dxa"/>
            <w:tcBorders>
              <w:top w:val="single" w:color="auto" w:sz="4" w:space="0"/>
              <w:left w:val="single" w:color="auto" w:sz="4" w:space="0"/>
              <w:bottom w:val="single" w:color="auto" w:sz="4" w:space="0"/>
              <w:right w:val="single" w:color="auto" w:sz="4" w:space="0"/>
            </w:tcBorders>
            <w:shd w:val="clear" w:color="auto" w:fill="auto"/>
            <w:vAlign w:val="center"/>
          </w:tcPr>
          <w:p w14:paraId="08F1AF5D">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Khusi Capoor</w:t>
            </w:r>
          </w:p>
        </w:tc>
        <w:tc>
          <w:tcPr>
            <w:tcW w:w="3919" w:type="dxa"/>
            <w:tcBorders>
              <w:top w:val="single" w:color="auto" w:sz="4" w:space="0"/>
              <w:left w:val="single" w:color="auto" w:sz="4" w:space="0"/>
              <w:bottom w:val="single" w:color="auto" w:sz="4" w:space="0"/>
              <w:right w:val="single" w:color="auto" w:sz="4" w:space="0"/>
            </w:tcBorders>
            <w:shd w:val="clear" w:color="auto" w:fill="auto"/>
            <w:vAlign w:val="center"/>
          </w:tcPr>
          <w:p w14:paraId="2C7B9344">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"mailto:khusicapoor@vempower.org" </w:instrText>
            </w:r>
            <w:r>
              <w:rPr>
                <w:rFonts w:hint="default" w:ascii="Times New Roman" w:hAnsi="Times New Roman" w:cs="Times New Roman"/>
                <w:sz w:val="28"/>
                <w:szCs w:val="28"/>
                <w:lang w:val="en-US"/>
              </w:rPr>
              <w:fldChar w:fldCharType="separate"/>
            </w:r>
            <w:r>
              <w:rPr>
                <w:rStyle w:val="8"/>
                <w:rFonts w:hint="default" w:ascii="Times New Roman" w:hAnsi="Times New Roman" w:cs="Times New Roman"/>
                <w:sz w:val="28"/>
                <w:szCs w:val="28"/>
                <w:lang w:val="en-US"/>
              </w:rPr>
              <w:t>khusicapoor@vempower.org</w:t>
            </w:r>
            <w:r>
              <w:rPr>
                <w:rFonts w:hint="default" w:ascii="Times New Roman" w:hAnsi="Times New Roman" w:cs="Times New Roman"/>
                <w:sz w:val="28"/>
                <w:szCs w:val="28"/>
                <w:lang w:val="en-US"/>
              </w:rPr>
              <w:fldChar w:fldCharType="end"/>
            </w:r>
          </w:p>
        </w:tc>
      </w:tr>
      <w:tr w14:paraId="4F2A8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251" w:type="dxa"/>
            <w:tcBorders>
              <w:top w:val="single" w:color="auto" w:sz="4" w:space="0"/>
              <w:left w:val="single" w:color="auto" w:sz="4" w:space="0"/>
              <w:bottom w:val="single" w:color="auto" w:sz="4" w:space="0"/>
              <w:right w:val="single" w:color="auto" w:sz="4" w:space="0"/>
            </w:tcBorders>
            <w:shd w:val="clear" w:color="auto" w:fill="auto"/>
            <w:vAlign w:val="center"/>
          </w:tcPr>
          <w:p w14:paraId="40EA3617">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Sudharma</w:t>
            </w:r>
          </w:p>
        </w:tc>
        <w:tc>
          <w:tcPr>
            <w:tcW w:w="3919" w:type="dxa"/>
            <w:tcBorders>
              <w:top w:val="single" w:color="auto" w:sz="4" w:space="0"/>
              <w:left w:val="single" w:color="auto" w:sz="4" w:space="0"/>
              <w:bottom w:val="single" w:color="auto" w:sz="4" w:space="0"/>
              <w:right w:val="single" w:color="auto" w:sz="4" w:space="0"/>
            </w:tcBorders>
            <w:shd w:val="clear" w:color="auto" w:fill="auto"/>
            <w:vAlign w:val="center"/>
          </w:tcPr>
          <w:p w14:paraId="7D371CCE">
            <w:pPr>
              <w:keepNext w:val="0"/>
              <w:keepLines w:val="0"/>
              <w:widowControl/>
              <w:suppressLineNumbers w:val="0"/>
              <w:jc w:val="center"/>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"mailto:sudharma@vempower.org" </w:instrText>
            </w:r>
            <w:r>
              <w:rPr>
                <w:rFonts w:hint="default" w:ascii="Times New Roman" w:hAnsi="Times New Roman" w:eastAsia="SimSun" w:cs="Times New Roman"/>
                <w:kern w:val="0"/>
                <w:sz w:val="28"/>
                <w:szCs w:val="28"/>
                <w:lang w:val="en-US" w:eastAsia="zh-CN" w:bidi="ar"/>
              </w:rPr>
              <w:fldChar w:fldCharType="separate"/>
            </w:r>
            <w:r>
              <w:rPr>
                <w:rStyle w:val="8"/>
                <w:rFonts w:hint="default" w:ascii="Times New Roman" w:hAnsi="Times New Roman" w:eastAsia="SimSun" w:cs="Times New Roman"/>
                <w:kern w:val="0"/>
                <w:sz w:val="28"/>
                <w:szCs w:val="28"/>
                <w:lang w:val="en-US" w:eastAsia="zh-CN" w:bidi="ar"/>
              </w:rPr>
              <w:t>sudharma@vempower.org</w:t>
            </w:r>
            <w:r>
              <w:rPr>
                <w:rFonts w:hint="default" w:ascii="Times New Roman" w:hAnsi="Times New Roman" w:eastAsia="SimSun" w:cs="Times New Roman"/>
                <w:kern w:val="0"/>
                <w:sz w:val="28"/>
                <w:szCs w:val="28"/>
                <w:lang w:val="en-US" w:eastAsia="zh-CN" w:bidi="ar"/>
              </w:rPr>
              <w:fldChar w:fldCharType="end"/>
            </w:r>
          </w:p>
        </w:tc>
      </w:tr>
      <w:tr w14:paraId="72630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251" w:type="dxa"/>
            <w:tcBorders>
              <w:top w:val="single" w:color="auto" w:sz="4" w:space="0"/>
              <w:left w:val="single" w:color="auto" w:sz="4" w:space="0"/>
              <w:bottom w:val="single" w:color="auto" w:sz="4" w:space="0"/>
              <w:right w:val="single" w:color="auto" w:sz="4" w:space="0"/>
            </w:tcBorders>
            <w:shd w:val="clear" w:color="auto" w:fill="auto"/>
            <w:vAlign w:val="center"/>
          </w:tcPr>
          <w:p w14:paraId="3DE6703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Shruti Mishra</w:t>
            </w:r>
          </w:p>
        </w:tc>
        <w:tc>
          <w:tcPr>
            <w:tcW w:w="3919" w:type="dxa"/>
            <w:tcBorders>
              <w:top w:val="single" w:color="auto" w:sz="4" w:space="0"/>
              <w:left w:val="single" w:color="auto" w:sz="4" w:space="0"/>
              <w:bottom w:val="single" w:color="auto" w:sz="4" w:space="0"/>
              <w:right w:val="single" w:color="auto" w:sz="4" w:space="0"/>
            </w:tcBorders>
            <w:shd w:val="clear" w:color="auto" w:fill="auto"/>
            <w:vAlign w:val="center"/>
          </w:tcPr>
          <w:p w14:paraId="2E0FFEB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"mailto:shrutimishra@vempower.org" </w:instrText>
            </w:r>
            <w:r>
              <w:rPr>
                <w:rFonts w:hint="default" w:ascii="Times New Roman" w:hAnsi="Times New Roman" w:eastAsia="SimSun" w:cs="Times New Roman"/>
                <w:kern w:val="0"/>
                <w:sz w:val="28"/>
                <w:szCs w:val="28"/>
                <w:lang w:val="en-US" w:eastAsia="zh-CN" w:bidi="ar"/>
              </w:rPr>
              <w:fldChar w:fldCharType="separate"/>
            </w:r>
            <w:r>
              <w:rPr>
                <w:rStyle w:val="8"/>
                <w:rFonts w:hint="default" w:ascii="Times New Roman" w:hAnsi="Times New Roman" w:eastAsia="SimSun" w:cs="Times New Roman"/>
                <w:sz w:val="28"/>
                <w:szCs w:val="28"/>
              </w:rPr>
              <w:t>shrutimishra@vempower.org</w:t>
            </w:r>
            <w:r>
              <w:rPr>
                <w:rFonts w:hint="default" w:ascii="Times New Roman" w:hAnsi="Times New Roman" w:eastAsia="SimSun" w:cs="Times New Roman"/>
                <w:kern w:val="0"/>
                <w:sz w:val="28"/>
                <w:szCs w:val="28"/>
                <w:lang w:val="en-US" w:eastAsia="zh-CN" w:bidi="ar"/>
              </w:rPr>
              <w:fldChar w:fldCharType="end"/>
            </w:r>
          </w:p>
        </w:tc>
      </w:tr>
    </w:tbl>
    <w:p w14:paraId="1BBC82CE">
      <w:pPr>
        <w:jc w:val="center"/>
        <w:rPr>
          <w:rFonts w:hint="default" w:ascii="Times New Roman" w:hAnsi="Times New Roman" w:cs="Times New Roman"/>
          <w:b w:val="0"/>
          <w:bCs w:val="0"/>
          <w:color w:val="000000" w:themeColor="text1"/>
          <w:sz w:val="28"/>
          <w:szCs w:val="28"/>
          <w:lang w:val="en-US"/>
          <w14:textFill>
            <w14:solidFill>
              <w14:schemeClr w14:val="tx1"/>
            </w14:solidFill>
          </w14:textFill>
        </w:rPr>
      </w:pPr>
    </w:p>
    <w:p w14:paraId="23A89F38">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375AE3DF">
      <w:pPr>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Team Members:</w:t>
      </w:r>
    </w:p>
    <w:p w14:paraId="2AC4264D">
      <w:pPr>
        <w:jc w:val="center"/>
        <w:rPr>
          <w:rFonts w:hint="default" w:ascii="Times New Roman" w:hAnsi="Times New Roman" w:cs="Times New Roman"/>
          <w:b/>
          <w:bCs/>
          <w:color w:val="000000" w:themeColor="text1"/>
          <w:sz w:val="28"/>
          <w:szCs w:val="28"/>
          <w:lang w:val="en-US"/>
          <w14:textFill>
            <w14:solidFill>
              <w14:schemeClr w14:val="tx1"/>
            </w14:solidFill>
          </w14:textFill>
        </w:rPr>
      </w:pPr>
    </w:p>
    <w:tbl>
      <w:tblPr>
        <w:tblStyle w:val="5"/>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0"/>
        <w:gridCol w:w="1939"/>
        <w:gridCol w:w="3767"/>
      </w:tblGrid>
      <w:tr w14:paraId="24F3C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6" w:hRule="atLeast"/>
          <w:tblHeader/>
          <w:tblCellSpacing w:w="15" w:type="dxa"/>
          <w:jc w:val="center"/>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1A8F0A1">
            <w:pPr>
              <w:keepNext w:val="0"/>
              <w:keepLines w:val="0"/>
              <w:widowControl/>
              <w:suppressLineNumbers w:val="0"/>
              <w:jc w:val="center"/>
              <w:rPr>
                <w:rFonts w:hint="default" w:ascii="Times New Roman" w:hAnsi="Times New Roman" w:cs="Times New Roman"/>
                <w:b/>
                <w:bCs/>
                <w:color w:val="2F5597" w:themeColor="accent5" w:themeShade="BF"/>
                <w:sz w:val="21"/>
                <w:szCs w:val="21"/>
              </w:rPr>
            </w:pPr>
            <w:r>
              <w:rPr>
                <w:rFonts w:hint="default" w:ascii="Times New Roman" w:hAnsi="Times New Roman" w:eastAsia="SimSun" w:cs="Times New Roman"/>
                <w:b/>
                <w:bCs/>
                <w:color w:val="2F5597" w:themeColor="accent5" w:themeShade="BF"/>
                <w:kern w:val="0"/>
                <w:sz w:val="28"/>
                <w:szCs w:val="28"/>
                <w:lang w:val="en-US" w:eastAsia="zh-CN" w:bidi="ar"/>
              </w:rPr>
              <w:t>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1AFFB9">
            <w:pPr>
              <w:keepNext w:val="0"/>
              <w:keepLines w:val="0"/>
              <w:widowControl/>
              <w:suppressLineNumbers w:val="0"/>
              <w:jc w:val="center"/>
              <w:rPr>
                <w:rFonts w:hint="default" w:ascii="Times New Roman" w:hAnsi="Times New Roman" w:cs="Times New Roman"/>
                <w:b/>
                <w:bCs/>
                <w:color w:val="2F5597" w:themeColor="accent5" w:themeShade="BF"/>
                <w:sz w:val="21"/>
                <w:szCs w:val="21"/>
              </w:rPr>
            </w:pPr>
            <w:r>
              <w:rPr>
                <w:rFonts w:hint="default" w:ascii="Times New Roman" w:hAnsi="Times New Roman" w:eastAsia="SimSun" w:cs="Times New Roman"/>
                <w:b/>
                <w:bCs/>
                <w:color w:val="2F5597" w:themeColor="accent5" w:themeShade="BF"/>
                <w:kern w:val="0"/>
                <w:sz w:val="28"/>
                <w:szCs w:val="28"/>
                <w:lang w:val="en-US" w:eastAsia="zh-CN" w:bidi="ar"/>
              </w:rPr>
              <w:t>Role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F00206">
            <w:pPr>
              <w:keepNext w:val="0"/>
              <w:keepLines w:val="0"/>
              <w:widowControl/>
              <w:suppressLineNumbers w:val="0"/>
              <w:jc w:val="center"/>
              <w:rPr>
                <w:rFonts w:hint="default" w:ascii="Times New Roman" w:hAnsi="Times New Roman" w:cs="Times New Roman"/>
                <w:b/>
                <w:bCs/>
                <w:color w:val="2F5597" w:themeColor="accent5" w:themeShade="BF"/>
                <w:sz w:val="21"/>
                <w:szCs w:val="21"/>
              </w:rPr>
            </w:pPr>
            <w:r>
              <w:rPr>
                <w:rFonts w:hint="default" w:ascii="Times New Roman" w:hAnsi="Times New Roman" w:eastAsia="SimSun" w:cs="Times New Roman"/>
                <w:b/>
                <w:bCs/>
                <w:color w:val="2F5597" w:themeColor="accent5" w:themeShade="BF"/>
                <w:kern w:val="0"/>
                <w:sz w:val="28"/>
                <w:szCs w:val="28"/>
                <w:lang w:val="en-US" w:eastAsia="zh-CN" w:bidi="ar"/>
              </w:rPr>
              <w:t>Email</w:t>
            </w:r>
          </w:p>
        </w:tc>
      </w:tr>
      <w:tr w14:paraId="7F1EA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9" w:hRule="atLeast"/>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1A9926">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t>Sumaiya Tasnim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7BCEAB">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t>Team Lead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961267">
            <w:pPr>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"mailto:sumaiyaa.tasnim.18@gmail.com" </w:instrText>
            </w:r>
            <w:r>
              <w:rPr>
                <w:rFonts w:hint="default" w:ascii="Times New Roman" w:hAnsi="Times New Roman" w:eastAsia="SimSun" w:cs="Times New Roman"/>
                <w:kern w:val="0"/>
                <w:sz w:val="28"/>
                <w:szCs w:val="28"/>
                <w:lang w:val="en-US" w:eastAsia="zh-CN" w:bidi="ar"/>
              </w:rPr>
              <w:fldChar w:fldCharType="separate"/>
            </w:r>
            <w:r>
              <w:rPr>
                <w:rStyle w:val="8"/>
                <w:rFonts w:hint="default" w:ascii="Times New Roman" w:hAnsi="Times New Roman" w:eastAsia="SimSun" w:cs="Times New Roman"/>
                <w:sz w:val="28"/>
                <w:szCs w:val="28"/>
              </w:rPr>
              <w:t>sumaiyaa.tasnim.18@gmail.com</w:t>
            </w:r>
            <w:r>
              <w:rPr>
                <w:rFonts w:hint="default" w:ascii="Times New Roman" w:hAnsi="Times New Roman" w:eastAsia="SimSun" w:cs="Times New Roman"/>
                <w:kern w:val="0"/>
                <w:sz w:val="28"/>
                <w:szCs w:val="28"/>
                <w:lang w:val="en-US" w:eastAsia="zh-CN" w:bidi="ar"/>
              </w:rPr>
              <w:fldChar w:fldCharType="end"/>
            </w:r>
          </w:p>
        </w:tc>
      </w:tr>
      <w:tr w14:paraId="7FBA2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3" w:hRule="atLeast"/>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9E74A3">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Wilgens Almonor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A4309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Project Scribe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F86516">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"mailto:Wilgensalmonor@gmail.com" </w:instrText>
            </w:r>
            <w:r>
              <w:rPr>
                <w:rFonts w:hint="default" w:ascii="Times New Roman" w:hAnsi="Times New Roman" w:cs="Times New Roman"/>
                <w:sz w:val="28"/>
                <w:szCs w:val="28"/>
                <w:lang w:val="en-US"/>
              </w:rPr>
              <w:fldChar w:fldCharType="separate"/>
            </w:r>
            <w:r>
              <w:rPr>
                <w:rStyle w:val="8"/>
                <w:rFonts w:hint="default" w:ascii="Times New Roman" w:hAnsi="Times New Roman" w:cs="Times New Roman"/>
                <w:sz w:val="28"/>
                <w:szCs w:val="28"/>
                <w:lang w:val="en-US"/>
              </w:rPr>
              <w:t>Wilgensalmonor@gmail.com</w:t>
            </w:r>
            <w:r>
              <w:rPr>
                <w:rFonts w:hint="default" w:ascii="Times New Roman" w:hAnsi="Times New Roman" w:cs="Times New Roman"/>
                <w:sz w:val="28"/>
                <w:szCs w:val="28"/>
                <w:lang w:val="en-US"/>
              </w:rPr>
              <w:fldChar w:fldCharType="end"/>
            </w:r>
          </w:p>
        </w:tc>
      </w:tr>
      <w:tr w14:paraId="696E7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1" w:hRule="atLeast"/>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27C1EB">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Subashree J</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1AE1C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Project Manager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2AA691">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"mailto:subashreej03@gmail.com" </w:instrText>
            </w:r>
            <w:r>
              <w:rPr>
                <w:rFonts w:hint="default" w:ascii="Times New Roman" w:hAnsi="Times New Roman" w:cs="Times New Roman"/>
                <w:sz w:val="28"/>
                <w:szCs w:val="28"/>
                <w:lang w:val="en-US"/>
              </w:rPr>
              <w:fldChar w:fldCharType="separate"/>
            </w:r>
            <w:r>
              <w:rPr>
                <w:rStyle w:val="8"/>
                <w:rFonts w:hint="default" w:ascii="Times New Roman" w:hAnsi="Times New Roman" w:cs="Times New Roman"/>
                <w:sz w:val="28"/>
                <w:szCs w:val="28"/>
                <w:lang w:val="en-US"/>
              </w:rPr>
              <w:t>subashreej03@gmail.com</w:t>
            </w:r>
            <w:r>
              <w:rPr>
                <w:rFonts w:hint="default" w:ascii="Times New Roman" w:hAnsi="Times New Roman" w:cs="Times New Roman"/>
                <w:sz w:val="28"/>
                <w:szCs w:val="28"/>
                <w:lang w:val="en-US"/>
              </w:rPr>
              <w:fldChar w:fldCharType="end"/>
            </w:r>
          </w:p>
        </w:tc>
      </w:tr>
      <w:tr w14:paraId="6B333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2" w:hRule="atLeast"/>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A86E79">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Ayan Banik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4C696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Project Lead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392E74">
            <w:pPr>
              <w:keepNext w:val="0"/>
              <w:keepLines w:val="0"/>
              <w:widowControl/>
              <w:suppressLineNumbers w:val="0"/>
              <w:jc w:val="center"/>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"mailto:ayanbanik001@gmail.com" </w:instrText>
            </w:r>
            <w:r>
              <w:rPr>
                <w:rFonts w:hint="default" w:ascii="Times New Roman" w:hAnsi="Times New Roman" w:eastAsia="SimSun" w:cs="Times New Roman"/>
                <w:kern w:val="0"/>
                <w:sz w:val="28"/>
                <w:szCs w:val="28"/>
                <w:lang w:val="en-US" w:eastAsia="zh-CN" w:bidi="ar"/>
              </w:rPr>
              <w:fldChar w:fldCharType="separate"/>
            </w:r>
            <w:r>
              <w:rPr>
                <w:rStyle w:val="8"/>
                <w:rFonts w:hint="default" w:ascii="Times New Roman" w:hAnsi="Times New Roman" w:eastAsia="SimSun" w:cs="Times New Roman"/>
                <w:kern w:val="0"/>
                <w:sz w:val="28"/>
                <w:szCs w:val="28"/>
                <w:lang w:val="en-US" w:eastAsia="zh-CN" w:bidi="ar"/>
              </w:rPr>
              <w:t>ayanbanik001@gmail.com</w:t>
            </w:r>
            <w:r>
              <w:rPr>
                <w:rFonts w:hint="default" w:ascii="Times New Roman" w:hAnsi="Times New Roman" w:eastAsia="SimSun" w:cs="Times New Roman"/>
                <w:kern w:val="0"/>
                <w:sz w:val="28"/>
                <w:szCs w:val="28"/>
                <w:lang w:val="en-US" w:eastAsia="zh-CN" w:bidi="ar"/>
              </w:rPr>
              <w:fldChar w:fldCharType="end"/>
            </w:r>
          </w:p>
        </w:tc>
      </w:tr>
      <w:tr w14:paraId="08D52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0" w:hRule="atLeast"/>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DB031B">
            <w:pPr>
              <w:keepNext w:val="0"/>
              <w:keepLines w:val="0"/>
              <w:widowControl/>
              <w:suppressLineNumbers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Palak Garg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3BDD42">
            <w:pPr>
              <w:keepNext w:val="0"/>
              <w:keepLines w:val="0"/>
              <w:widowControl/>
              <w:suppressLineNumbers w:val="0"/>
              <w:jc w:val="center"/>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Team Member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84E9B3">
            <w:pPr>
              <w:keepNext w:val="0"/>
              <w:keepLines w:val="0"/>
              <w:widowControl/>
              <w:suppressLineNumbers w:val="0"/>
              <w:jc w:val="center"/>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"mailto:palakgarg447@gmail.com" </w:instrText>
            </w:r>
            <w:r>
              <w:rPr>
                <w:rFonts w:hint="default" w:ascii="Times New Roman" w:hAnsi="Times New Roman" w:eastAsia="SimSun" w:cs="Times New Roman"/>
                <w:kern w:val="0"/>
                <w:sz w:val="28"/>
                <w:szCs w:val="28"/>
                <w:lang w:val="en-US" w:eastAsia="zh-CN" w:bidi="ar"/>
              </w:rPr>
              <w:fldChar w:fldCharType="separate"/>
            </w:r>
            <w:r>
              <w:rPr>
                <w:rStyle w:val="8"/>
                <w:rFonts w:hint="default" w:ascii="Times New Roman" w:hAnsi="Times New Roman" w:eastAsia="SimSun" w:cs="Times New Roman"/>
                <w:kern w:val="0"/>
                <w:sz w:val="28"/>
                <w:szCs w:val="28"/>
                <w:lang w:val="en-US" w:eastAsia="zh-CN" w:bidi="ar"/>
              </w:rPr>
              <w:t>palakgarg447@gmail.com</w:t>
            </w:r>
            <w:r>
              <w:rPr>
                <w:rFonts w:hint="default" w:ascii="Times New Roman" w:hAnsi="Times New Roman" w:eastAsia="SimSun" w:cs="Times New Roman"/>
                <w:kern w:val="0"/>
                <w:sz w:val="28"/>
                <w:szCs w:val="28"/>
                <w:lang w:val="en-US" w:eastAsia="zh-CN" w:bidi="ar"/>
              </w:rPr>
              <w:fldChar w:fldCharType="end"/>
            </w:r>
          </w:p>
        </w:tc>
      </w:tr>
    </w:tbl>
    <w:p w14:paraId="5FEC724F">
      <w:pPr>
        <w:rPr>
          <w:sz w:val="28"/>
          <w:szCs w:val="28"/>
        </w:rPr>
      </w:pPr>
    </w:p>
    <w:p w14:paraId="03A4BABA">
      <w:pPr>
        <w:jc w:val="left"/>
        <w:rPr>
          <w:rFonts w:hint="default"/>
          <w:b/>
          <w:bCs/>
          <w:color w:val="2F5597" w:themeColor="accent5" w:themeShade="BF"/>
          <w:sz w:val="24"/>
          <w:szCs w:val="24"/>
          <w:lang w:val="en-US"/>
        </w:rPr>
      </w:pPr>
    </w:p>
    <w:p w14:paraId="0C3414C4">
      <w:pPr>
        <w:jc w:val="left"/>
        <w:rPr>
          <w:rFonts w:hint="default"/>
          <w:b/>
          <w:bCs/>
          <w:color w:val="2F5597" w:themeColor="accent5" w:themeShade="BF"/>
          <w:sz w:val="24"/>
          <w:szCs w:val="24"/>
          <w:lang w:val="en-US"/>
        </w:rPr>
      </w:pPr>
    </w:p>
    <w:p w14:paraId="47230C7F">
      <w:pPr>
        <w:jc w:val="left"/>
        <w:rPr>
          <w:rFonts w:hint="default"/>
          <w:b/>
          <w:bCs/>
          <w:color w:val="2F5597" w:themeColor="accent5" w:themeShade="BF"/>
          <w:sz w:val="24"/>
          <w:szCs w:val="24"/>
          <w:lang w:val="en-US"/>
        </w:rPr>
      </w:pPr>
      <w:r>
        <w:rPr>
          <w:rFonts w:hint="default"/>
          <w:b/>
          <w:bCs/>
          <w:color w:val="2F5597" w:themeColor="accent5" w:themeShade="BF"/>
          <w:sz w:val="24"/>
          <w:szCs w:val="24"/>
          <w:lang w:val="en-US"/>
        </w:rPr>
        <w:t>Introduction</w:t>
      </w:r>
    </w:p>
    <w:p w14:paraId="5385AC8E">
      <w:pPr>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In order to find useful insights, the Week 2 Data Visualization Trainee Early Internship phase concentrates on investigating, evaluating, and displaying outreach and application datasets. The goal is to use interactive dashboard design and exploratory data analysis to turn structured datasets into relevant tales, building on the cleaned and validated data from Week 1. This deliverable shows the capacity to convert data into strategic insights that direct well-informed decision-making and performance improvement by looking at trends, correlations, and performance indicators across campaigns, categories, and geographical areas.</w:t>
      </w:r>
    </w:p>
    <w:p w14:paraId="260362AD">
      <w:pPr>
        <w:jc w:val="left"/>
        <w:rPr>
          <w:rFonts w:hint="default"/>
          <w:b w:val="0"/>
          <w:bCs w:val="0"/>
          <w:color w:val="000000" w:themeColor="text1"/>
          <w:sz w:val="22"/>
          <w:szCs w:val="22"/>
          <w:lang w:val="en-US"/>
          <w14:textFill>
            <w14:solidFill>
              <w14:schemeClr w14:val="tx1"/>
            </w14:solidFill>
          </w14:textFill>
        </w:rPr>
      </w:pPr>
    </w:p>
    <w:p w14:paraId="0FEE7F86">
      <w:pPr>
        <w:jc w:val="left"/>
        <w:rPr>
          <w:rFonts w:hint="default"/>
          <w:b/>
          <w:bCs/>
          <w:color w:val="2F5597" w:themeColor="accent5" w:themeShade="BF"/>
          <w:sz w:val="24"/>
          <w:szCs w:val="24"/>
          <w:lang w:val="en-US"/>
        </w:rPr>
      </w:pPr>
      <w:r>
        <w:rPr>
          <w:rFonts w:hint="default"/>
          <w:b/>
          <w:bCs/>
          <w:color w:val="2F5597" w:themeColor="accent5" w:themeShade="BF"/>
          <w:sz w:val="24"/>
          <w:szCs w:val="24"/>
          <w:lang w:val="en-US"/>
        </w:rPr>
        <w:t>Objectives</w:t>
      </w:r>
    </w:p>
    <w:p w14:paraId="13F0F239">
      <w:pPr>
        <w:numPr>
          <w:ilvl w:val="0"/>
          <w:numId w:val="1"/>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To conduct Exploratory Data Analysis (EDA) on outreach and application datasets to identify key trends, patterns, and anomalies.</w:t>
      </w:r>
    </w:p>
    <w:p w14:paraId="0E3A5B96">
      <w:pPr>
        <w:numPr>
          <w:ilvl w:val="0"/>
          <w:numId w:val="1"/>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To define and visualize Key Performance Indicators (KPIs) that effectively measure outreach performance.</w:t>
      </w:r>
    </w:p>
    <w:p w14:paraId="69F0CDC1">
      <w:pPr>
        <w:numPr>
          <w:ilvl w:val="0"/>
          <w:numId w:val="1"/>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To design a dashboard prototype that highlights the most important metrics in an interactive and visually clear format.</w:t>
      </w:r>
    </w:p>
    <w:p w14:paraId="046D4233">
      <w:pPr>
        <w:numPr>
          <w:ilvl w:val="0"/>
          <w:numId w:val="1"/>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To derive actionable insights related to campaign timing, conversion behavior, and segmentation.</w:t>
      </w:r>
    </w:p>
    <w:p w14:paraId="614A91EA">
      <w:pPr>
        <w:numPr>
          <w:ilvl w:val="0"/>
          <w:numId w:val="1"/>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To strengthen analytical storytelling skills through visualization and interpretation of real-world data.</w:t>
      </w:r>
    </w:p>
    <w:p w14:paraId="1AAE4DD2">
      <w:pPr>
        <w:jc w:val="left"/>
        <w:rPr>
          <w:rFonts w:hint="default"/>
          <w:b w:val="0"/>
          <w:bCs w:val="0"/>
          <w:color w:val="000000" w:themeColor="text1"/>
          <w:sz w:val="22"/>
          <w:szCs w:val="22"/>
          <w:lang w:val="en-US"/>
          <w14:textFill>
            <w14:solidFill>
              <w14:schemeClr w14:val="tx1"/>
            </w14:solidFill>
          </w14:textFill>
        </w:rPr>
      </w:pPr>
    </w:p>
    <w:p w14:paraId="3DDE3736">
      <w:pPr>
        <w:rPr>
          <w:rFonts w:hint="default"/>
          <w:b/>
          <w:bCs/>
          <w:color w:val="2F5597" w:themeColor="accent5" w:themeShade="BF"/>
          <w:sz w:val="24"/>
          <w:szCs w:val="24"/>
          <w:lang w:val="en-US"/>
        </w:rPr>
      </w:pPr>
      <w:r>
        <w:rPr>
          <w:b/>
          <w:bCs/>
          <w:color w:val="2F5597" w:themeColor="accent5" w:themeShade="BF"/>
          <w:sz w:val="24"/>
          <w:szCs w:val="24"/>
        </w:rPr>
        <w:t>Assigned Datasets</w:t>
      </w:r>
      <w:r>
        <w:rPr>
          <w:rFonts w:hint="default"/>
          <w:b/>
          <w:bCs/>
          <w:color w:val="2F5597" w:themeColor="accent5" w:themeShade="BF"/>
          <w:sz w:val="24"/>
          <w:szCs w:val="24"/>
          <w:lang w:val="en-US"/>
        </w:rPr>
        <w:t>:</w:t>
      </w:r>
    </w:p>
    <w:tbl>
      <w:tblPr>
        <w:tblStyle w:val="5"/>
        <w:tblW w:w="842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91"/>
        <w:gridCol w:w="4035"/>
      </w:tblGrid>
      <w:tr w14:paraId="78F7C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2" w:hRule="atLeast"/>
          <w:tblHeader/>
          <w:tblCellSpacing w:w="15" w:type="dxa"/>
        </w:trPr>
        <w:tc>
          <w:tcPr>
            <w:tcW w:w="4346" w:type="dxa"/>
            <w:tcBorders>
              <w:top w:val="single" w:color="auto" w:sz="4" w:space="0"/>
              <w:left w:val="single" w:color="auto" w:sz="0" w:space="0"/>
              <w:bottom w:val="single" w:color="auto" w:sz="4" w:space="0"/>
              <w:right w:val="single" w:color="auto" w:sz="4" w:space="0"/>
            </w:tcBorders>
            <w:shd w:val="clear" w:color="auto" w:fill="auto"/>
            <w:vAlign w:val="center"/>
          </w:tcPr>
          <w:p w14:paraId="70601283">
            <w:pPr>
              <w:keepNext w:val="0"/>
              <w:keepLines w:val="0"/>
              <w:widowControl/>
              <w:suppressLineNumbers w:val="0"/>
              <w:jc w:val="center"/>
              <w:rPr>
                <w:rFonts w:hint="default" w:ascii="Times New Roman" w:hAnsi="Times New Roman" w:cs="Times New Roman"/>
                <w:b/>
                <w:bCs/>
                <w:sz w:val="20"/>
                <w:szCs w:val="20"/>
                <w:lang w:val="en-US"/>
              </w:rPr>
            </w:pPr>
            <w:r>
              <w:rPr>
                <w:rStyle w:val="10"/>
                <w:rFonts w:hint="default" w:ascii="Times New Roman" w:hAnsi="Times New Roman" w:eastAsia="SimSun" w:cs="Times New Roman"/>
                <w:kern w:val="0"/>
                <w:sz w:val="20"/>
                <w:szCs w:val="20"/>
                <w:lang w:val="en-US" w:eastAsia="zh-CN" w:bidi="ar"/>
              </w:rPr>
              <w:t xml:space="preserve">Assigned Dataset (Raw)    </w:t>
            </w:r>
            <w:r>
              <w:rPr>
                <w:rStyle w:val="10"/>
                <w:rFonts w:hint="default" w:ascii="Times New Roman" w:hAnsi="Times New Roman" w:eastAsia="SimSun" w:cs="Times New Roman"/>
                <w:i/>
                <w:iCs/>
                <w:color w:val="AFABAB" w:themeColor="background2" w:themeShade="BF"/>
                <w:kern w:val="0"/>
                <w:sz w:val="20"/>
                <w:szCs w:val="20"/>
                <w:lang w:val="en-US" w:eastAsia="zh-CN" w:bidi="ar"/>
              </w:rPr>
              <w:t>Before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0BFF3F">
            <w:pPr>
              <w:keepNext w:val="0"/>
              <w:keepLines w:val="0"/>
              <w:widowControl/>
              <w:suppressLineNumbers w:val="0"/>
              <w:jc w:val="center"/>
              <w:rPr>
                <w:rFonts w:hint="default" w:ascii="Times New Roman" w:hAnsi="Times New Roman" w:cs="Times New Roman"/>
                <w:b/>
                <w:bCs/>
                <w:sz w:val="20"/>
                <w:szCs w:val="20"/>
                <w:lang w:val="en-US"/>
              </w:rPr>
            </w:pPr>
            <w:r>
              <w:rPr>
                <w:rStyle w:val="10"/>
                <w:rFonts w:hint="default" w:ascii="Times New Roman" w:hAnsi="Times New Roman" w:eastAsia="SimSun" w:cs="Times New Roman"/>
                <w:kern w:val="0"/>
                <w:sz w:val="20"/>
                <w:szCs w:val="20"/>
                <w:lang w:val="en-US" w:eastAsia="zh-CN" w:bidi="ar"/>
              </w:rPr>
              <w:t xml:space="preserve">Cleaned Dataset     </w:t>
            </w:r>
            <w:r>
              <w:rPr>
                <w:rStyle w:val="10"/>
                <w:rFonts w:hint="default" w:ascii="Times New Roman" w:hAnsi="Times New Roman" w:eastAsia="SimSun" w:cs="Times New Roman"/>
                <w:i/>
                <w:iCs/>
                <w:color w:val="AFABAB" w:themeColor="background2" w:themeShade="BF"/>
                <w:kern w:val="0"/>
                <w:sz w:val="20"/>
                <w:szCs w:val="20"/>
                <w:lang w:val="en-US" w:eastAsia="zh-CN" w:bidi="ar"/>
              </w:rPr>
              <w:t>After</w:t>
            </w:r>
          </w:p>
        </w:tc>
      </w:tr>
      <w:tr w14:paraId="19796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0" w:hRule="atLeast"/>
          <w:tblCellSpacing w:w="15" w:type="dxa"/>
        </w:trPr>
        <w:tc>
          <w:tcPr>
            <w:tcW w:w="4346" w:type="dxa"/>
            <w:tcBorders>
              <w:top w:val="single" w:color="auto" w:sz="4" w:space="0"/>
              <w:left w:val="single" w:color="auto" w:sz="4" w:space="0"/>
              <w:bottom w:val="single" w:color="auto" w:sz="4" w:space="0"/>
              <w:right w:val="single" w:color="auto" w:sz="4" w:space="0"/>
            </w:tcBorders>
            <w:shd w:val="clear" w:color="auto" w:fill="auto"/>
            <w:vAlign w:val="center"/>
          </w:tcPr>
          <w:p w14:paraId="39A3BCBD">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OutreachData.csv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D7AC54">
            <w:pPr>
              <w:keepNext w:val="0"/>
              <w:keepLines w:val="0"/>
              <w:widowControl/>
              <w:suppressLineNumbers w:val="0"/>
              <w:jc w:val="center"/>
              <w:rPr>
                <w:rFonts w:hint="default" w:ascii="Times New Roman" w:hAnsi="Times New Roman" w:cs="Times New Roman"/>
                <w:sz w:val="20"/>
                <w:szCs w:val="20"/>
                <w:lang w:val="en-US"/>
              </w:rPr>
            </w:pPr>
            <w:r>
              <w:rPr>
                <w:rFonts w:hint="default" w:ascii="Times New Roman" w:hAnsi="Times New Roman" w:eastAsia="SimSun" w:cs="Times New Roman"/>
                <w:kern w:val="0"/>
                <w:sz w:val="20"/>
                <w:szCs w:val="20"/>
                <w:lang w:val="en-US" w:eastAsia="zh-CN" w:bidi="ar"/>
              </w:rPr>
              <w:t xml:space="preserve">Cleaned_OutreachData.csv </w:t>
            </w:r>
          </w:p>
        </w:tc>
      </w:tr>
      <w:tr w14:paraId="5F3B6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3" w:hRule="atLeast"/>
          <w:tblCellSpacing w:w="15" w:type="dxa"/>
        </w:trPr>
        <w:tc>
          <w:tcPr>
            <w:tcW w:w="4346" w:type="dxa"/>
            <w:tcBorders>
              <w:top w:val="single" w:color="auto" w:sz="4" w:space="0"/>
              <w:left w:val="single" w:color="auto" w:sz="4" w:space="0"/>
              <w:bottom w:val="single" w:color="auto" w:sz="4" w:space="0"/>
              <w:right w:val="single" w:color="auto" w:sz="4" w:space="0"/>
            </w:tcBorders>
            <w:shd w:val="clear" w:color="auto" w:fill="auto"/>
            <w:vAlign w:val="center"/>
          </w:tcPr>
          <w:p w14:paraId="68992208">
            <w:pPr>
              <w:keepNext w:val="0"/>
              <w:keepLines w:val="0"/>
              <w:widowControl/>
              <w:suppressLineNumbers w:val="0"/>
              <w:jc w:val="center"/>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CampaignData.csv</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622C17">
            <w:pPr>
              <w:keepNext w:val="0"/>
              <w:keepLines w:val="0"/>
              <w:widowControl/>
              <w:suppressLineNumbers w:val="0"/>
              <w:jc w:val="center"/>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0"/>
                <w:szCs w:val="20"/>
                <w:lang w:val="en-US" w:eastAsia="zh-CN" w:bidi="ar"/>
              </w:rPr>
              <w:t>Cleaned_CampaignData.csv</w:t>
            </w:r>
          </w:p>
        </w:tc>
      </w:tr>
      <w:tr w14:paraId="5F005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4" w:hRule="atLeast"/>
          <w:tblCellSpacing w:w="15" w:type="dxa"/>
        </w:trPr>
        <w:tc>
          <w:tcPr>
            <w:tcW w:w="4346" w:type="dxa"/>
            <w:tcBorders>
              <w:top w:val="single" w:color="auto" w:sz="4" w:space="0"/>
              <w:left w:val="single" w:color="auto" w:sz="4" w:space="0"/>
              <w:bottom w:val="single" w:color="auto" w:sz="4" w:space="0"/>
              <w:right w:val="single" w:color="auto" w:sz="4" w:space="0"/>
            </w:tcBorders>
            <w:shd w:val="clear" w:color="auto" w:fill="auto"/>
            <w:vAlign w:val="center"/>
          </w:tcPr>
          <w:p w14:paraId="722EA292">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ApplicantData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2B390D">
            <w:pPr>
              <w:keepNext w:val="0"/>
              <w:keepLines w:val="0"/>
              <w:widowControl/>
              <w:suppressLineNumbers w:val="0"/>
              <w:jc w:val="center"/>
              <w:rPr>
                <w:rFonts w:hint="default" w:ascii="Times New Roman" w:hAnsi="Times New Roman" w:cs="Times New Roman"/>
                <w:sz w:val="20"/>
                <w:szCs w:val="20"/>
                <w:lang w:val="en-US"/>
              </w:rPr>
            </w:pPr>
            <w:r>
              <w:rPr>
                <w:rFonts w:hint="default" w:ascii="Times New Roman" w:hAnsi="Times New Roman" w:eastAsia="SimSun" w:cs="Times New Roman"/>
                <w:kern w:val="0"/>
                <w:sz w:val="20"/>
                <w:szCs w:val="20"/>
                <w:lang w:val="en-US" w:eastAsia="zh-CN" w:bidi="ar"/>
              </w:rPr>
              <w:t>Cleaned_ApplicantData</w:t>
            </w:r>
          </w:p>
        </w:tc>
      </w:tr>
    </w:tbl>
    <w:p w14:paraId="48222B35">
      <w:pPr>
        <w:jc w:val="left"/>
        <w:rPr>
          <w:rFonts w:hint="default"/>
          <w:b w:val="0"/>
          <w:bCs w:val="0"/>
          <w:color w:val="000000" w:themeColor="text1"/>
          <w:sz w:val="22"/>
          <w:szCs w:val="22"/>
          <w:lang w:val="en-US"/>
          <w14:textFill>
            <w14:solidFill>
              <w14:schemeClr w14:val="tx1"/>
            </w14:solidFill>
          </w14:textFill>
        </w:rPr>
      </w:pPr>
    </w:p>
    <w:p w14:paraId="01DEDAD0">
      <w:pPr>
        <w:rPr>
          <w:rFonts w:hint="default"/>
          <w:b/>
          <w:bCs/>
          <w:color w:val="2F5597" w:themeColor="accent5" w:themeShade="BF"/>
          <w:sz w:val="24"/>
          <w:szCs w:val="24"/>
          <w:lang w:val="en-US"/>
        </w:rPr>
      </w:pPr>
      <w:r>
        <w:rPr>
          <w:b/>
          <w:bCs/>
          <w:color w:val="2F5597" w:themeColor="accent5" w:themeShade="BF"/>
          <w:sz w:val="24"/>
          <w:szCs w:val="24"/>
        </w:rPr>
        <w:t>Tools We Use</w:t>
      </w:r>
      <w:r>
        <w:rPr>
          <w:rFonts w:hint="default"/>
          <w:b/>
          <w:bCs/>
          <w:color w:val="2F5597" w:themeColor="accent5" w:themeShade="BF"/>
          <w:sz w:val="24"/>
          <w:szCs w:val="24"/>
          <w:lang w:val="en-US"/>
        </w:rPr>
        <w:t>d:</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03"/>
        <w:gridCol w:w="5603"/>
      </w:tblGrid>
      <w:tr w14:paraId="16DDD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7B33EFF">
            <w:pPr>
              <w:jc w:val="left"/>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eastAsia="zh-CN"/>
                <w14:textFill>
                  <w14:solidFill>
                    <w14:schemeClr w14:val="tx1"/>
                  </w14:solidFill>
                </w14:textFill>
              </w:rPr>
              <w:t>Tools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9E6DE2">
            <w:pPr>
              <w:jc w:val="left"/>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eastAsia="zh-CN"/>
                <w14:textFill>
                  <w14:solidFill>
                    <w14:schemeClr w14:val="tx1"/>
                  </w14:solidFill>
                </w14:textFill>
              </w:rPr>
              <w:t>Purpose</w:t>
            </w:r>
          </w:p>
        </w:tc>
      </w:tr>
      <w:tr w14:paraId="77C42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01F002">
            <w:pPr>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Microsoft Power BI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F80377">
            <w:pPr>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For creating dynamic dashboards and visualizing KPIs with interactive elements.</w:t>
            </w:r>
          </w:p>
        </w:tc>
      </w:tr>
      <w:tr w14:paraId="6CE99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D06D4B">
            <w:pPr>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Python (Pandas, Matplotlib, Seaborn)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82881F">
            <w:pPr>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For detailed data analysis, trend detection, and validation prior to visualization.</w:t>
            </w:r>
          </w:p>
        </w:tc>
      </w:tr>
      <w:tr w14:paraId="45256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6594FE">
            <w:pPr>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Word / PDF</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89294B">
            <w:pPr>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For documenting the EDA findings and compiling the final report submission.</w:t>
            </w:r>
          </w:p>
        </w:tc>
      </w:tr>
    </w:tbl>
    <w:p w14:paraId="73927D8F">
      <w:pPr>
        <w:jc w:val="left"/>
        <w:rPr>
          <w:rFonts w:hint="default"/>
          <w:b w:val="0"/>
          <w:bCs w:val="0"/>
          <w:color w:val="000000" w:themeColor="text1"/>
          <w:sz w:val="22"/>
          <w:szCs w:val="22"/>
          <w:lang w:val="en-US"/>
          <w14:textFill>
            <w14:solidFill>
              <w14:schemeClr w14:val="tx1"/>
            </w14:solidFill>
          </w14:textFill>
        </w:rPr>
      </w:pPr>
    </w:p>
    <w:p w14:paraId="2D3438B6">
      <w:pPr>
        <w:jc w:val="left"/>
        <w:rPr>
          <w:rFonts w:hint="default"/>
          <w:b/>
          <w:bCs/>
          <w:color w:val="2F5597" w:themeColor="accent5" w:themeShade="BF"/>
          <w:sz w:val="22"/>
          <w:szCs w:val="22"/>
          <w:lang w:val="en-US"/>
        </w:rPr>
      </w:pPr>
      <w:r>
        <w:rPr>
          <w:rFonts w:hint="default"/>
          <w:b/>
          <w:bCs/>
          <w:color w:val="2F5597" w:themeColor="accent5" w:themeShade="BF"/>
          <w:sz w:val="22"/>
          <w:szCs w:val="22"/>
          <w:lang w:val="en-US"/>
        </w:rPr>
        <w:t>Expected Outcome</w:t>
      </w:r>
    </w:p>
    <w:p w14:paraId="73D29278">
      <w:pPr>
        <w:numPr>
          <w:ilvl w:val="0"/>
          <w:numId w:val="2"/>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A structured EDA Insights Report summarizing 3–5 major findings with supporting visual evidence.</w:t>
      </w:r>
    </w:p>
    <w:p w14:paraId="622BB05C">
      <w:pPr>
        <w:numPr>
          <w:ilvl w:val="0"/>
          <w:numId w:val="2"/>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A dashboard prototype visualizing high-level KPIs such as outreach volume, response rate, and conversion rate.</w:t>
      </w:r>
    </w:p>
    <w:p w14:paraId="6FA67E47">
      <w:pPr>
        <w:numPr>
          <w:ilvl w:val="0"/>
          <w:numId w:val="2"/>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Identification of opportunities and performance gaps across categories, time periods, and regions.</w:t>
      </w:r>
    </w:p>
    <w:p w14:paraId="28F47F78">
      <w:pPr>
        <w:numPr>
          <w:ilvl w:val="0"/>
          <w:numId w:val="2"/>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A clear narrative that links analytical findings to strategic outreach improvements.</w:t>
      </w:r>
    </w:p>
    <w:p w14:paraId="10BF6270">
      <w:pPr>
        <w:numPr>
          <w:ilvl w:val="0"/>
          <w:numId w:val="2"/>
        </w:numPr>
        <w:ind w:left="420" w:leftChars="0" w:hanging="420" w:firstLineChars="0"/>
        <w:jc w:val="left"/>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Enhanced proficiency in using analytical and visualization tools for real-world data interpretation.</w:t>
      </w:r>
    </w:p>
    <w:p w14:paraId="5E613FCE">
      <w:pPr>
        <w:jc w:val="center"/>
        <w:rPr>
          <w:rFonts w:hint="default"/>
          <w:b/>
          <w:bCs/>
          <w:color w:val="C55A11" w:themeColor="accent2" w:themeShade="BF"/>
          <w:sz w:val="32"/>
          <w:szCs w:val="32"/>
          <w:lang w:val="en-US"/>
        </w:rPr>
      </w:pPr>
      <w:r>
        <w:rPr>
          <w:rFonts w:hint="default"/>
          <w:b/>
          <w:bCs/>
          <w:color w:val="C55A11" w:themeColor="accent2" w:themeShade="BF"/>
          <w:sz w:val="32"/>
          <w:szCs w:val="32"/>
          <w:lang w:val="en-US"/>
        </w:rPr>
        <w:t>Joining The Datasets</w:t>
      </w:r>
      <w:bookmarkStart w:id="0" w:name="_GoBack"/>
      <w:bookmarkEnd w:id="0"/>
    </w:p>
    <w:p w14:paraId="5CB5D423">
      <w:pPr>
        <w:keepNext w:val="0"/>
        <w:keepLines w:val="0"/>
        <w:widowControl/>
        <w:suppressLineNumbers w:val="0"/>
        <w:jc w:val="left"/>
        <w:rPr>
          <w:rFonts w:hint="default" w:ascii="Calibri" w:hAnsi="Calibri" w:eastAsia="SimSun" w:cs="Calibri"/>
          <w:b/>
          <w:bCs/>
          <w:color w:val="398F88"/>
          <w:kern w:val="0"/>
          <w:sz w:val="22"/>
          <w:szCs w:val="22"/>
          <w:u w:val="single"/>
          <w:lang w:val="en-US" w:eastAsia="zh-CN" w:bidi="ar"/>
        </w:rPr>
      </w:pPr>
      <w:r>
        <w:rPr>
          <w:rFonts w:hint="default" w:ascii="Calibri" w:hAnsi="Calibri" w:eastAsia="SimSun" w:cs="Calibri"/>
          <w:b/>
          <w:bCs/>
          <w:color w:val="398F88"/>
          <w:kern w:val="0"/>
          <w:sz w:val="22"/>
          <w:szCs w:val="22"/>
          <w:u w:val="single"/>
          <w:lang w:val="en-US" w:eastAsia="zh-CN" w:bidi="ar"/>
        </w:rPr>
        <w:t>Schema Diagram:</w:t>
      </w:r>
    </w:p>
    <w:p w14:paraId="6697927F">
      <w:pPr>
        <w:keepNext w:val="0"/>
        <w:keepLines w:val="0"/>
        <w:widowControl/>
        <w:suppressLineNumbers w:val="0"/>
        <w:jc w:val="center"/>
        <w:rPr>
          <w:rFonts w:hint="default"/>
          <w:lang w:val="en-US"/>
        </w:rPr>
      </w:pPr>
      <w:r>
        <w:rPr>
          <w:rFonts w:hint="default"/>
          <w:bdr w:val="single" w:sz="4" w:space="0"/>
          <w:lang w:val="en-US"/>
        </w:rPr>
        <w:drawing>
          <wp:inline distT="0" distB="0" distL="114300" distR="114300">
            <wp:extent cx="5269230" cy="3737610"/>
            <wp:effectExtent l="0" t="0" r="3175" b="1270"/>
            <wp:docPr id="24" name="Picture 24" descr="Schema Diagram-DV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hema Diagram-DVT.drawio"/>
                    <pic:cNvPicPr>
                      <a:picLocks noChangeAspect="1"/>
                    </pic:cNvPicPr>
                  </pic:nvPicPr>
                  <pic:blipFill>
                    <a:blip r:embed="rId5"/>
                    <a:stretch>
                      <a:fillRect/>
                    </a:stretch>
                  </pic:blipFill>
                  <pic:spPr>
                    <a:xfrm>
                      <a:off x="0" y="0"/>
                      <a:ext cx="5269230" cy="3737610"/>
                    </a:xfrm>
                    <a:prstGeom prst="rect">
                      <a:avLst/>
                    </a:prstGeom>
                  </pic:spPr>
                </pic:pic>
              </a:graphicData>
            </a:graphic>
          </wp:inline>
        </w:drawing>
      </w:r>
    </w:p>
    <w:p w14:paraId="51FB238A"/>
    <w:tbl>
      <w:tblPr>
        <w:tblStyle w:val="5"/>
        <w:tblW w:w="897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96"/>
        <w:gridCol w:w="2695"/>
        <w:gridCol w:w="3583"/>
      </w:tblGrid>
      <w:tr w14:paraId="4DB65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651" w:type="dxa"/>
            <w:tcBorders>
              <w:top w:val="single" w:color="auto" w:sz="4" w:space="0"/>
              <w:left w:val="single" w:color="auto" w:sz="0" w:space="0"/>
              <w:bottom w:val="single" w:color="auto" w:sz="4" w:space="0"/>
              <w:right w:val="single" w:color="auto" w:sz="4" w:space="0"/>
            </w:tcBorders>
            <w:shd w:val="clear" w:color="auto" w:fill="auto"/>
            <w:vAlign w:val="center"/>
          </w:tcPr>
          <w:p w14:paraId="21B2D179">
            <w:pPr>
              <w:keepNext w:val="0"/>
              <w:keepLines w:val="0"/>
              <w:widowControl/>
              <w:suppressLineNumbers w:val="0"/>
              <w:jc w:val="center"/>
              <w:rPr>
                <w:rFonts w:hint="default" w:ascii="Calibri" w:hAnsi="Calibri" w:cs="Calibri"/>
                <w:b w:val="0"/>
                <w:bCs w:val="0"/>
                <w:sz w:val="22"/>
                <w:szCs w:val="22"/>
                <w:lang w:val="en-US"/>
              </w:rPr>
            </w:pPr>
            <w:r>
              <w:rPr>
                <w:rFonts w:hint="default" w:ascii="Calibri" w:hAnsi="Calibri" w:eastAsia="SimSun" w:cs="Calibri"/>
                <w:b/>
                <w:bCs/>
                <w:kern w:val="0"/>
                <w:sz w:val="22"/>
                <w:szCs w:val="22"/>
                <w:lang w:val="en-US" w:eastAsia="zh-CN" w:bidi="ar"/>
              </w:rPr>
              <w:t>Column in Cleaned Dataset [primary keys]</w:t>
            </w:r>
          </w:p>
        </w:tc>
        <w:tc>
          <w:tcPr>
            <w:tcW w:w="2665" w:type="dxa"/>
            <w:tcBorders>
              <w:top w:val="single" w:color="auto" w:sz="4" w:space="0"/>
              <w:left w:val="single" w:color="auto" w:sz="4" w:space="0"/>
              <w:bottom w:val="single" w:color="auto" w:sz="4" w:space="0"/>
              <w:right w:val="single" w:color="auto" w:sz="4" w:space="0"/>
            </w:tcBorders>
            <w:shd w:val="clear" w:color="auto" w:fill="auto"/>
            <w:vAlign w:val="center"/>
          </w:tcPr>
          <w:p w14:paraId="63DA432B">
            <w:pPr>
              <w:keepNext w:val="0"/>
              <w:keepLines w:val="0"/>
              <w:widowControl/>
              <w:suppressLineNumbers w:val="0"/>
              <w:jc w:val="center"/>
              <w:rPr>
                <w:rFonts w:hint="default" w:ascii="Calibri" w:hAnsi="Calibri" w:cs="Calibri"/>
                <w:b w:val="0"/>
                <w:bCs w:val="0"/>
                <w:sz w:val="22"/>
                <w:szCs w:val="22"/>
              </w:rPr>
            </w:pPr>
            <w:r>
              <w:rPr>
                <w:rFonts w:hint="default" w:ascii="Calibri" w:hAnsi="Calibri" w:eastAsia="SimSun" w:cs="Calibri"/>
                <w:b/>
                <w:bCs/>
                <w:kern w:val="0"/>
                <w:sz w:val="22"/>
                <w:szCs w:val="22"/>
                <w:lang w:val="en-US" w:eastAsia="zh-CN" w:bidi="ar"/>
              </w:rPr>
              <w:t>Original Dataset</w:t>
            </w:r>
          </w:p>
        </w:tc>
        <w:tc>
          <w:tcPr>
            <w:tcW w:w="3538" w:type="dxa"/>
            <w:tcBorders>
              <w:top w:val="single" w:color="auto" w:sz="4" w:space="0"/>
              <w:left w:val="single" w:color="auto" w:sz="4" w:space="0"/>
              <w:bottom w:val="single" w:color="auto" w:sz="4" w:space="0"/>
              <w:right w:val="single" w:color="auto" w:sz="4" w:space="0"/>
            </w:tcBorders>
            <w:shd w:val="clear" w:color="auto" w:fill="auto"/>
            <w:vAlign w:val="center"/>
          </w:tcPr>
          <w:p w14:paraId="56D0114B">
            <w:pPr>
              <w:keepNext w:val="0"/>
              <w:keepLines w:val="0"/>
              <w:widowControl/>
              <w:suppressLineNumbers w:val="0"/>
              <w:jc w:val="center"/>
              <w:rPr>
                <w:rFonts w:hint="default" w:ascii="Calibri" w:hAnsi="Calibri" w:eastAsia="SimSun" w:cs="Calibri"/>
                <w:b/>
                <w:bCs/>
                <w:kern w:val="0"/>
                <w:sz w:val="22"/>
                <w:szCs w:val="22"/>
                <w:lang w:val="en-US" w:eastAsia="zh-CN" w:bidi="ar"/>
              </w:rPr>
            </w:pPr>
            <w:r>
              <w:rPr>
                <w:rFonts w:hint="default" w:ascii="Calibri" w:hAnsi="Calibri" w:eastAsia="SimSun" w:cs="Calibri"/>
                <w:b/>
                <w:bCs/>
                <w:kern w:val="0"/>
                <w:sz w:val="22"/>
                <w:szCs w:val="22"/>
                <w:lang w:val="en-US" w:eastAsia="zh-CN" w:bidi="ar"/>
              </w:rPr>
              <w:t>Matched With (Column &amp; Dataset )</w:t>
            </w:r>
          </w:p>
          <w:p w14:paraId="278A60EA">
            <w:pPr>
              <w:keepNext w:val="0"/>
              <w:keepLines w:val="0"/>
              <w:widowControl/>
              <w:suppressLineNumbers w:val="0"/>
              <w:jc w:val="center"/>
              <w:rPr>
                <w:rFonts w:hint="default" w:ascii="Calibri" w:hAnsi="Calibri" w:eastAsia="SimSun" w:cs="Calibri"/>
                <w:b/>
                <w:bCs/>
                <w:kern w:val="0"/>
                <w:sz w:val="22"/>
                <w:szCs w:val="22"/>
                <w:lang w:val="en-US" w:eastAsia="zh-CN" w:bidi="ar"/>
              </w:rPr>
            </w:pPr>
            <w:r>
              <w:rPr>
                <w:rFonts w:hint="default" w:ascii="Calibri" w:hAnsi="Calibri" w:eastAsia="SimSun" w:cs="Calibri"/>
                <w:b/>
                <w:bCs/>
                <w:kern w:val="0"/>
                <w:sz w:val="22"/>
                <w:szCs w:val="22"/>
                <w:lang w:val="en-US" w:eastAsia="zh-CN" w:bidi="ar"/>
              </w:rPr>
              <w:t>[Foreign keys]</w:t>
            </w:r>
          </w:p>
        </w:tc>
      </w:tr>
      <w:tr w14:paraId="49F47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51" w:type="dxa"/>
            <w:tcBorders>
              <w:top w:val="single" w:color="auto" w:sz="4" w:space="0"/>
              <w:left w:val="single" w:color="auto" w:sz="4" w:space="0"/>
              <w:bottom w:val="single" w:color="auto" w:sz="4" w:space="0"/>
              <w:right w:val="single" w:color="auto" w:sz="4" w:space="0"/>
            </w:tcBorders>
            <w:shd w:val="clear" w:color="auto" w:fill="auto"/>
            <w:vAlign w:val="center"/>
          </w:tcPr>
          <w:p w14:paraId="1CC83E91">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Reference_ID</w:t>
            </w:r>
          </w:p>
        </w:tc>
        <w:tc>
          <w:tcPr>
            <w:tcW w:w="2665" w:type="dxa"/>
            <w:tcBorders>
              <w:top w:val="single" w:color="auto" w:sz="4" w:space="0"/>
              <w:left w:val="single" w:color="auto" w:sz="4" w:space="0"/>
              <w:bottom w:val="single" w:color="auto" w:sz="4" w:space="0"/>
              <w:right w:val="single" w:color="auto" w:sz="4" w:space="0"/>
            </w:tcBorders>
            <w:shd w:val="clear" w:color="auto" w:fill="auto"/>
            <w:vAlign w:val="center"/>
          </w:tcPr>
          <w:p w14:paraId="4E2B4FD9">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Cleaned_OutreachData.csv</w:t>
            </w:r>
          </w:p>
        </w:tc>
        <w:tc>
          <w:tcPr>
            <w:tcW w:w="3538" w:type="dxa"/>
            <w:tcBorders>
              <w:top w:val="single" w:color="auto" w:sz="4" w:space="0"/>
              <w:left w:val="single" w:color="auto" w:sz="4" w:space="0"/>
              <w:bottom w:val="single" w:color="auto" w:sz="4" w:space="0"/>
              <w:right w:val="single" w:color="auto" w:sz="4" w:space="0"/>
            </w:tcBorders>
            <w:shd w:val="clear" w:color="auto" w:fill="auto"/>
            <w:vAlign w:val="center"/>
          </w:tcPr>
          <w:p w14:paraId="7325AD02">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App_ID (Cleaned_ApplicantData.csv)</w:t>
            </w:r>
          </w:p>
        </w:tc>
      </w:tr>
      <w:tr w14:paraId="7BD4F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651" w:type="dxa"/>
            <w:tcBorders>
              <w:top w:val="single" w:color="auto" w:sz="4" w:space="0"/>
              <w:left w:val="single" w:color="auto" w:sz="4" w:space="0"/>
              <w:bottom w:val="single" w:color="auto" w:sz="4" w:space="0"/>
              <w:right w:val="single" w:color="auto" w:sz="4" w:space="0"/>
            </w:tcBorders>
            <w:shd w:val="clear" w:color="auto" w:fill="auto"/>
            <w:vAlign w:val="center"/>
          </w:tcPr>
          <w:p w14:paraId="105DE804">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Campaign_ID</w:t>
            </w:r>
          </w:p>
        </w:tc>
        <w:tc>
          <w:tcPr>
            <w:tcW w:w="2665" w:type="dxa"/>
            <w:tcBorders>
              <w:top w:val="single" w:color="auto" w:sz="4" w:space="0"/>
              <w:left w:val="single" w:color="auto" w:sz="4" w:space="0"/>
              <w:bottom w:val="single" w:color="auto" w:sz="4" w:space="0"/>
              <w:right w:val="single" w:color="auto" w:sz="4" w:space="0"/>
            </w:tcBorders>
            <w:shd w:val="clear" w:color="auto" w:fill="auto"/>
            <w:vAlign w:val="center"/>
          </w:tcPr>
          <w:p w14:paraId="193B00FF">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Cleaned_OutreachData.csv</w:t>
            </w:r>
          </w:p>
        </w:tc>
        <w:tc>
          <w:tcPr>
            <w:tcW w:w="3538" w:type="dxa"/>
            <w:tcBorders>
              <w:top w:val="single" w:color="auto" w:sz="4" w:space="0"/>
              <w:left w:val="single" w:color="auto" w:sz="4" w:space="0"/>
              <w:bottom w:val="single" w:color="auto" w:sz="4" w:space="0"/>
              <w:right w:val="single" w:color="auto" w:sz="4" w:space="0"/>
            </w:tcBorders>
            <w:shd w:val="clear" w:color="auto" w:fill="auto"/>
            <w:vAlign w:val="center"/>
          </w:tcPr>
          <w:p w14:paraId="625396D9">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ID (Cleaned_CampaignData.csv)</w:t>
            </w:r>
          </w:p>
        </w:tc>
      </w:tr>
    </w:tbl>
    <w:p w14:paraId="59D010F8"/>
    <w:p w14:paraId="5F80D4A2">
      <w:pPr>
        <w:rPr>
          <w:b/>
          <w:bCs/>
          <w:color w:val="398F88"/>
          <w:sz w:val="22"/>
          <w:szCs w:val="22"/>
        </w:rPr>
      </w:pPr>
      <w:r>
        <w:rPr>
          <w:b/>
          <w:bCs/>
          <w:color w:val="398F88"/>
          <w:sz w:val="22"/>
          <w:szCs w:val="22"/>
        </w:rPr>
        <w:t>Data Merging Methodology</w:t>
      </w:r>
    </w:p>
    <w:p w14:paraId="65B08AB9">
      <w:pPr>
        <w:rPr>
          <w:sz w:val="22"/>
          <w:szCs w:val="22"/>
        </w:rPr>
      </w:pPr>
      <w:r>
        <w:rPr>
          <w:sz w:val="22"/>
          <w:szCs w:val="22"/>
        </w:rPr>
        <w:t>The final dataset, Outreach_Campaign_Applicants_FinalData, was created by combining three cleaned datasets to provide a comprehensive view of outreach activities, campaign details, and applicant information.</w:t>
      </w:r>
    </w:p>
    <w:p w14:paraId="5FAD8298">
      <w:pPr>
        <w:rPr>
          <w:sz w:val="22"/>
          <w:szCs w:val="22"/>
        </w:rPr>
      </w:pPr>
    </w:p>
    <w:p w14:paraId="208E2C9D">
      <w:pPr>
        <w:rPr>
          <w:sz w:val="22"/>
          <w:szCs w:val="22"/>
        </w:rPr>
      </w:pPr>
      <w:r>
        <w:rPr>
          <w:b/>
          <w:bCs/>
          <w:color w:val="398F88"/>
          <w:sz w:val="22"/>
          <w:szCs w:val="22"/>
          <w:u w:val="single"/>
        </w:rPr>
        <w:t>Step 1: Merg</w:t>
      </w:r>
      <w:r>
        <w:rPr>
          <w:rFonts w:hint="default"/>
          <w:b/>
          <w:bCs/>
          <w:color w:val="398F88"/>
          <w:sz w:val="22"/>
          <w:szCs w:val="22"/>
          <w:u w:val="single"/>
          <w:lang w:val="en-US"/>
        </w:rPr>
        <w:t>ed</w:t>
      </w:r>
      <w:r>
        <w:rPr>
          <w:b/>
          <w:bCs/>
          <w:color w:val="398F88"/>
          <w:sz w:val="22"/>
          <w:szCs w:val="22"/>
          <w:u w:val="single"/>
        </w:rPr>
        <w:t xml:space="preserve"> Outreach and Campaign Data</w:t>
      </w:r>
      <w:r>
        <w:rPr>
          <w:sz w:val="22"/>
          <w:szCs w:val="22"/>
        </w:rPr>
        <w:br w:type="textWrapping"/>
      </w:r>
      <w:r>
        <w:rPr>
          <w:sz w:val="22"/>
          <w:szCs w:val="22"/>
        </w:rPr>
        <w:t>The Campaign_ID column in Cleaned_OutreachData.csv was matched with the ID column in Cleaned_CampaignData.csv. This merge brought campaign-related information (such as Name, Category, Intake, University, Status, and Start_Date) into the outreach dataset.</w:t>
      </w:r>
    </w:p>
    <w:p w14:paraId="68829DAE">
      <w:pPr>
        <w:rPr>
          <w:sz w:val="22"/>
          <w:szCs w:val="22"/>
        </w:rPr>
      </w:pPr>
    </w:p>
    <w:p w14:paraId="5F10D47B">
      <w:pPr>
        <w:rPr>
          <w:sz w:val="22"/>
          <w:szCs w:val="22"/>
        </w:rPr>
      </w:pPr>
      <w:r>
        <w:rPr>
          <w:b/>
          <w:bCs/>
          <w:color w:val="398F88"/>
          <w:sz w:val="22"/>
          <w:szCs w:val="22"/>
          <w:u w:val="single"/>
        </w:rPr>
        <w:t>Step 2: A</w:t>
      </w:r>
      <w:r>
        <w:rPr>
          <w:rFonts w:hint="default"/>
          <w:b/>
          <w:bCs/>
          <w:color w:val="398F88"/>
          <w:sz w:val="22"/>
          <w:szCs w:val="22"/>
          <w:u w:val="single"/>
          <w:lang w:val="en-US"/>
        </w:rPr>
        <w:t xml:space="preserve">gain Merged </w:t>
      </w:r>
      <w:r>
        <w:rPr>
          <w:b/>
          <w:bCs/>
          <w:color w:val="398F88"/>
          <w:sz w:val="22"/>
          <w:szCs w:val="22"/>
          <w:u w:val="single"/>
        </w:rPr>
        <w:t>Applicant Information</w:t>
      </w:r>
      <w:r>
        <w:rPr>
          <w:sz w:val="22"/>
          <w:szCs w:val="22"/>
        </w:rPr>
        <w:br w:type="textWrapping"/>
      </w:r>
      <w:r>
        <w:rPr>
          <w:sz w:val="22"/>
          <w:szCs w:val="22"/>
        </w:rPr>
        <w:t>The Reference_ID column from the merged outreach-campaign dataset was matched with the App_ID column in Cleaned_ApplicantData.csv. This added applicant-level details, including Country, University, and Phone Number, to each outreach record.</w:t>
      </w:r>
    </w:p>
    <w:p w14:paraId="786D4D2E">
      <w:pPr>
        <w:rPr>
          <w:sz w:val="22"/>
          <w:szCs w:val="22"/>
        </w:rPr>
      </w:pPr>
    </w:p>
    <w:p w14:paraId="74F349DE">
      <w:pPr>
        <w:rPr>
          <w:rFonts w:hint="default"/>
          <w:color w:val="398F88"/>
          <w:sz w:val="22"/>
          <w:szCs w:val="22"/>
          <w:u w:val="single"/>
          <w:lang w:val="en-US"/>
        </w:rPr>
      </w:pPr>
      <w:r>
        <w:rPr>
          <w:b/>
          <w:bCs/>
          <w:color w:val="398F88"/>
          <w:sz w:val="22"/>
          <w:szCs w:val="22"/>
          <w:u w:val="single"/>
        </w:rPr>
        <w:t xml:space="preserve">Step </w:t>
      </w:r>
      <w:r>
        <w:rPr>
          <w:rFonts w:hint="default"/>
          <w:b/>
          <w:bCs/>
          <w:color w:val="398F88"/>
          <w:sz w:val="22"/>
          <w:szCs w:val="22"/>
          <w:u w:val="single"/>
          <w:lang w:val="en-US"/>
        </w:rPr>
        <w:t>3</w:t>
      </w:r>
      <w:r>
        <w:rPr>
          <w:b/>
          <w:bCs/>
          <w:color w:val="398F88"/>
          <w:sz w:val="22"/>
          <w:szCs w:val="22"/>
          <w:u w:val="single"/>
        </w:rPr>
        <w:t xml:space="preserve">: </w:t>
      </w:r>
      <w:r>
        <w:rPr>
          <w:rFonts w:hint="default"/>
          <w:b/>
          <w:bCs/>
          <w:color w:val="398F88"/>
          <w:sz w:val="22"/>
          <w:szCs w:val="22"/>
          <w:u w:val="single"/>
          <w:lang w:val="en-US"/>
        </w:rPr>
        <w:t>Verified Final Merged dataset</w:t>
      </w:r>
    </w:p>
    <w:p w14:paraId="2C65545F">
      <w:pPr>
        <w:rPr>
          <w:rFonts w:hint="default"/>
          <w:sz w:val="22"/>
          <w:szCs w:val="22"/>
          <w:lang w:val="en-US"/>
        </w:rPr>
      </w:pPr>
      <w:r>
        <w:rPr>
          <w:rFonts w:hint="default"/>
          <w:sz w:val="22"/>
          <w:szCs w:val="22"/>
          <w:lang w:val="en-US"/>
        </w:rPr>
        <w:t>Total Records: 39717</w:t>
      </w:r>
    </w:p>
    <w:p w14:paraId="04447780">
      <w:pPr>
        <w:rPr>
          <w:rFonts w:hint="default"/>
          <w:sz w:val="22"/>
          <w:szCs w:val="22"/>
          <w:lang w:val="en-US"/>
        </w:rPr>
      </w:pPr>
      <w:r>
        <w:rPr>
          <w:rFonts w:hint="default"/>
          <w:sz w:val="22"/>
          <w:szCs w:val="22"/>
          <w:lang w:val="en-US"/>
        </w:rPr>
        <w:t xml:space="preserve">Total Columns: 17 </w:t>
      </w:r>
    </w:p>
    <w:p w14:paraId="3BA39D9E">
      <w:pPr>
        <w:rPr>
          <w:rFonts w:hint="default"/>
          <w:sz w:val="22"/>
          <w:szCs w:val="22"/>
          <w:lang w:val="en-US"/>
        </w:rPr>
      </w:pPr>
      <w:r>
        <w:rPr>
          <w:rFonts w:hint="default"/>
          <w:sz w:val="22"/>
          <w:szCs w:val="22"/>
          <w:lang w:val="en-US"/>
        </w:rPr>
        <w:t>App_ID &amp; ID columns matched so we kept valid columns Reference_ID,Campaign_ID. That’s why the columns are in total 17.</w:t>
      </w:r>
      <w:r>
        <w:rPr>
          <w:rFonts w:hint="default"/>
          <w:sz w:val="22"/>
          <w:szCs w:val="22"/>
          <w:lang w:val="en-US"/>
        </w:rPr>
        <w:br w:type="textWrapping"/>
      </w:r>
      <w:r>
        <w:rPr>
          <w:rFonts w:hint="default"/>
          <w:sz w:val="22"/>
          <w:szCs w:val="22"/>
          <w:lang w:val="en-US"/>
        </w:rPr>
        <w:t>All Dataypes were fine.</w:t>
      </w:r>
    </w:p>
    <w:p w14:paraId="53C4AD3E">
      <w:pPr>
        <w:rPr>
          <w:rFonts w:hint="default"/>
          <w:sz w:val="22"/>
          <w:szCs w:val="22"/>
          <w:lang w:val="en-US"/>
        </w:rPr>
      </w:pPr>
      <w:r>
        <w:rPr>
          <w:rFonts w:hint="default"/>
          <w:sz w:val="22"/>
          <w:szCs w:val="22"/>
          <w:lang w:val="en-US"/>
        </w:rPr>
        <w:t xml:space="preserve">No duplicate values found. </w:t>
      </w:r>
    </w:p>
    <w:p w14:paraId="713D28AF">
      <w:pPr>
        <w:rPr>
          <w:rFonts w:hint="default"/>
          <w:sz w:val="22"/>
          <w:szCs w:val="22"/>
          <w:lang w:val="en-US"/>
        </w:rPr>
      </w:pPr>
      <w:r>
        <w:rPr>
          <w:rFonts w:hint="default"/>
          <w:sz w:val="22"/>
          <w:szCs w:val="22"/>
          <w:lang w:val="en-US"/>
        </w:rPr>
        <w:t>No missing values were found per columns, except Phone_Number column had 11 missing values.</w:t>
      </w:r>
    </w:p>
    <w:p w14:paraId="2421E8E5">
      <w:pPr>
        <w:rPr>
          <w:rFonts w:hint="default"/>
          <w:sz w:val="22"/>
          <w:szCs w:val="22"/>
          <w:lang w:val="en-US"/>
        </w:rPr>
      </w:pPr>
    </w:p>
    <w:p w14:paraId="44B983F5">
      <w:pPr>
        <w:rPr>
          <w:sz w:val="22"/>
          <w:szCs w:val="22"/>
        </w:rPr>
      </w:pPr>
      <w:r>
        <w:rPr>
          <w:b/>
          <w:bCs/>
          <w:color w:val="398F88"/>
          <w:sz w:val="22"/>
          <w:szCs w:val="22"/>
          <w:u w:val="single"/>
        </w:rPr>
        <w:t xml:space="preserve">Step </w:t>
      </w:r>
      <w:r>
        <w:rPr>
          <w:rFonts w:hint="default"/>
          <w:b/>
          <w:bCs/>
          <w:color w:val="398F88"/>
          <w:sz w:val="22"/>
          <w:szCs w:val="22"/>
          <w:u w:val="single"/>
          <w:lang w:val="en-US"/>
        </w:rPr>
        <w:t>4</w:t>
      </w:r>
      <w:r>
        <w:rPr>
          <w:b/>
          <w:bCs/>
          <w:color w:val="398F88"/>
          <w:sz w:val="22"/>
          <w:szCs w:val="22"/>
          <w:u w:val="single"/>
        </w:rPr>
        <w:t>: Handl</w:t>
      </w:r>
      <w:r>
        <w:rPr>
          <w:rFonts w:hint="default"/>
          <w:b/>
          <w:bCs/>
          <w:color w:val="398F88"/>
          <w:sz w:val="22"/>
          <w:szCs w:val="22"/>
          <w:u w:val="single"/>
          <w:lang w:val="en-US"/>
        </w:rPr>
        <w:t>ed</w:t>
      </w:r>
      <w:r>
        <w:rPr>
          <w:b/>
          <w:bCs/>
          <w:color w:val="398F88"/>
          <w:sz w:val="22"/>
          <w:szCs w:val="22"/>
          <w:u w:val="single"/>
        </w:rPr>
        <w:t xml:space="preserve"> Missing Values</w:t>
      </w:r>
      <w:r>
        <w:rPr>
          <w:sz w:val="22"/>
          <w:szCs w:val="22"/>
        </w:rPr>
        <w:br w:type="textWrapping"/>
      </w:r>
      <w:r>
        <w:rPr>
          <w:rFonts w:hint="default"/>
          <w:sz w:val="22"/>
          <w:szCs w:val="22"/>
          <w:lang w:val="en-US"/>
        </w:rPr>
        <w:t>11</w:t>
      </w:r>
      <w:r>
        <w:rPr>
          <w:sz w:val="22"/>
          <w:szCs w:val="22"/>
        </w:rPr>
        <w:t xml:space="preserve"> missing phone numbers were filled with "Not Available" to ensure completeness.</w:t>
      </w:r>
    </w:p>
    <w:p w14:paraId="25BAF5E2">
      <w:pPr>
        <w:rPr>
          <w:sz w:val="22"/>
          <w:szCs w:val="22"/>
        </w:rPr>
      </w:pPr>
    </w:p>
    <w:p w14:paraId="44C534A3">
      <w:pPr>
        <w:rPr>
          <w:sz w:val="22"/>
          <w:szCs w:val="22"/>
        </w:rPr>
      </w:pPr>
      <w:r>
        <w:rPr>
          <w:b/>
          <w:bCs/>
          <w:color w:val="398F88"/>
          <w:sz w:val="22"/>
          <w:szCs w:val="22"/>
        </w:rPr>
        <w:t>Exported Dataset</w:t>
      </w:r>
      <w:r>
        <w:rPr>
          <w:sz w:val="22"/>
          <w:szCs w:val="22"/>
        </w:rPr>
        <w:br w:type="textWrapping"/>
      </w:r>
      <w:r>
        <w:rPr>
          <w:sz w:val="22"/>
          <w:szCs w:val="22"/>
        </w:rPr>
        <w:t xml:space="preserve">The final merged dataset was exported as </w:t>
      </w:r>
      <w:r>
        <w:rPr>
          <w:b/>
          <w:bCs/>
          <w:sz w:val="22"/>
          <w:szCs w:val="22"/>
        </w:rPr>
        <w:t>Outreach_Campaign_Applicants_FinalData.csv</w:t>
      </w:r>
      <w:r>
        <w:rPr>
          <w:sz w:val="22"/>
          <w:szCs w:val="22"/>
        </w:rPr>
        <w:t xml:space="preserve">, ready for </w:t>
      </w:r>
      <w:r>
        <w:rPr>
          <w:rFonts w:hint="default"/>
          <w:sz w:val="22"/>
          <w:szCs w:val="22"/>
          <w:lang w:val="en-US"/>
        </w:rPr>
        <w:t>Exploratory Data Analysis</w:t>
      </w:r>
      <w:r>
        <w:rPr>
          <w:sz w:val="22"/>
          <w:szCs w:val="22"/>
        </w:rPr>
        <w:t xml:space="preserve"> </w:t>
      </w:r>
      <w:r>
        <w:rPr>
          <w:rFonts w:hint="default"/>
          <w:sz w:val="22"/>
          <w:szCs w:val="22"/>
          <w:lang w:val="en-US"/>
        </w:rPr>
        <w:t>and</w:t>
      </w:r>
      <w:r>
        <w:rPr>
          <w:sz w:val="22"/>
          <w:szCs w:val="22"/>
        </w:rPr>
        <w:t xml:space="preserve"> </w:t>
      </w:r>
      <w:r>
        <w:rPr>
          <w:rFonts w:hint="default"/>
          <w:sz w:val="22"/>
          <w:szCs w:val="22"/>
          <w:lang w:val="en-US"/>
        </w:rPr>
        <w:t>D</w:t>
      </w:r>
      <w:r>
        <w:rPr>
          <w:sz w:val="22"/>
          <w:szCs w:val="22"/>
        </w:rPr>
        <w:t>ashboard creation in Power BI.</w:t>
      </w:r>
    </w:p>
    <w:p w14:paraId="75C1BBBD"/>
    <w:p w14:paraId="6513CA0B">
      <w:pPr>
        <w:rPr>
          <w:rFonts w:hint="default"/>
          <w:lang w:val="en-US"/>
        </w:rPr>
      </w:pPr>
      <w:r>
        <w:rPr>
          <w:rFonts w:hint="default"/>
          <w:b/>
          <w:bCs/>
          <w:color w:val="398F88"/>
          <w:sz w:val="22"/>
          <w:szCs w:val="22"/>
          <w:lang w:val="en-US"/>
        </w:rPr>
        <w:t>Dataset Structure:</w:t>
      </w:r>
      <w:r>
        <w:rPr>
          <w:rFonts w:hint="default"/>
          <w:lang w:val="en-US"/>
        </w:rPr>
        <w:br w:type="textWrapping"/>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908"/>
        <w:gridCol w:w="5743"/>
      </w:tblGrid>
      <w:tr w14:paraId="4C202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5C174F9F">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Column 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8F89F7">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Data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9CF205">
            <w:pPr>
              <w:keepNext w:val="0"/>
              <w:keepLines w:val="0"/>
              <w:widowControl/>
              <w:suppressLineNumbers w:val="0"/>
              <w:jc w:val="center"/>
              <w:rPr>
                <w:rFonts w:hint="default" w:ascii="Calibri" w:hAnsi="Calibri" w:cs="Calibri"/>
                <w:b/>
                <w:bCs/>
                <w:sz w:val="20"/>
                <w:szCs w:val="20"/>
              </w:rPr>
            </w:pPr>
            <w:r>
              <w:rPr>
                <w:rFonts w:hint="default" w:ascii="Calibri" w:hAnsi="Calibri" w:eastAsia="SimSun" w:cs="Calibri"/>
                <w:b/>
                <w:bCs/>
                <w:kern w:val="0"/>
                <w:sz w:val="20"/>
                <w:szCs w:val="20"/>
                <w:lang w:val="en-US" w:eastAsia="zh-CN" w:bidi="ar"/>
              </w:rPr>
              <w:t>Description of the Field</w:t>
            </w:r>
          </w:p>
        </w:tc>
      </w:tr>
      <w:tr w14:paraId="3DD53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F6ADE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Reference_ID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1702E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int64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E945B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Unique identifier for each outreach record.</w:t>
            </w:r>
          </w:p>
        </w:tc>
      </w:tr>
      <w:tr w14:paraId="7B639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7B174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Received_At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0B9180">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4BFAD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Date and time when the outreach was received.</w:t>
            </w:r>
          </w:p>
        </w:tc>
      </w:tr>
      <w:tr w14:paraId="52B5B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5017B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University_x</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3721B1">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7C23E0">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University associated with the outreach (from Outreach dataset).</w:t>
            </w:r>
          </w:p>
        </w:tc>
      </w:tr>
      <w:tr w14:paraId="7FF0E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F356E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Caller_Name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F404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09985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Name of the person making the outreach.</w:t>
            </w:r>
          </w:p>
        </w:tc>
      </w:tr>
      <w:tr w14:paraId="121DB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FC0A7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Outcome_1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100F0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F86430">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Result of the outreach attempt (e.g., Connected, Not Connected).</w:t>
            </w:r>
          </w:p>
        </w:tc>
      </w:tr>
      <w:tr w14:paraId="6FDEA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EEAE6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Remark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B82A5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EAD0C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Additional notes or comments regarding the outreach.</w:t>
            </w:r>
          </w:p>
        </w:tc>
      </w:tr>
      <w:tr w14:paraId="6F80B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273B7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Campaign_ID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B49EA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FE173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Identifier linking outreach to a specific campaign.</w:t>
            </w:r>
          </w:p>
        </w:tc>
      </w:tr>
      <w:tr w14:paraId="5CFAD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FF9BB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Escalation_Required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78D2C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58443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Indicates whether escalation was needed for the outreach.</w:t>
            </w:r>
          </w:p>
        </w:tc>
      </w:tr>
      <w:tr w14:paraId="057A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A11BC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90332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6D92B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Campaign name (from Campaign dataset).</w:t>
            </w:r>
          </w:p>
        </w:tc>
      </w:tr>
      <w:tr w14:paraId="0C8BB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A56DC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Category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20390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F1ED2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Type or category of the campaign (e.g., Pre Admission, Post Admission).</w:t>
            </w:r>
          </w:p>
        </w:tc>
      </w:tr>
      <w:tr w14:paraId="22093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32D03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Intake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0FCFF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70750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Academic intake associated with the campaign.</w:t>
            </w:r>
          </w:p>
        </w:tc>
      </w:tr>
      <w:tr w14:paraId="16678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A1179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University_y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C1CDD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0EA54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University associated with the campaign (from Campaign dataset).</w:t>
            </w:r>
          </w:p>
        </w:tc>
      </w:tr>
      <w:tr w14:paraId="50AEA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BC81D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Status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405B7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C7CB6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Current status of the campaign (e.g., Completed).</w:t>
            </w:r>
          </w:p>
        </w:tc>
      </w:tr>
      <w:tr w14:paraId="0CC59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AF2E9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Start_Date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C7401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EBEFA0">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Start date of the campaign.</w:t>
            </w:r>
          </w:p>
        </w:tc>
      </w:tr>
      <w:tr w14:paraId="1399A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60127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Country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6B24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FDB49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Applicant’s country (from Applicant dataset).</w:t>
            </w:r>
          </w:p>
        </w:tc>
      </w:tr>
      <w:tr w14:paraId="3CC78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FEA01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University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C5047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EE94C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University of the applicant (from Applicant dataset).</w:t>
            </w:r>
          </w:p>
        </w:tc>
      </w:tr>
      <w:tr w14:paraId="4866F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867A4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Phone_Number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6D8F1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object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DF43A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Applicant’s contact number</w:t>
            </w:r>
          </w:p>
        </w:tc>
      </w:tr>
    </w:tbl>
    <w:p w14:paraId="3A332043">
      <w:pPr>
        <w:rPr>
          <w:rFonts w:hint="default"/>
          <w:lang w:val="en-US"/>
        </w:rPr>
      </w:pPr>
    </w:p>
    <w:p w14:paraId="6262D1D5">
      <w:pPr>
        <w:rPr>
          <w:rFonts w:hint="default"/>
          <w:lang w:val="en-US"/>
        </w:rPr>
      </w:pPr>
    </w:p>
    <w:p w14:paraId="69B71542">
      <w:pPr>
        <w:rPr>
          <w:rFonts w:hint="default"/>
          <w:lang w:val="en-US"/>
        </w:rPr>
      </w:pPr>
    </w:p>
    <w:p w14:paraId="0B7088FF">
      <w:pPr>
        <w:rPr>
          <w:rFonts w:hint="default"/>
          <w:lang w:val="en-US"/>
        </w:rPr>
      </w:pPr>
    </w:p>
    <w:p w14:paraId="3FFE9F5F">
      <w:pPr>
        <w:rPr>
          <w:rFonts w:hint="default"/>
          <w:lang w:val="en-US"/>
        </w:rPr>
      </w:pPr>
    </w:p>
    <w:p w14:paraId="0527AC47">
      <w:pPr>
        <w:rPr>
          <w:rFonts w:hint="default"/>
          <w:lang w:val="en-US"/>
        </w:rPr>
      </w:pPr>
    </w:p>
    <w:p w14:paraId="51E52BDD">
      <w:pPr>
        <w:rPr>
          <w:rFonts w:hint="default"/>
          <w:lang w:val="en-US"/>
        </w:rPr>
      </w:pPr>
    </w:p>
    <w:p w14:paraId="755BF7A9">
      <w:pPr>
        <w:rPr>
          <w:rFonts w:hint="default"/>
          <w:lang w:val="en-US"/>
        </w:rPr>
      </w:pPr>
    </w:p>
    <w:p w14:paraId="0DF7C80F">
      <w:pPr>
        <w:rPr>
          <w:rFonts w:hint="default"/>
          <w:lang w:val="en-US"/>
        </w:rPr>
      </w:pPr>
    </w:p>
    <w:p w14:paraId="18FEB409">
      <w:pPr>
        <w:rPr>
          <w:rFonts w:hint="default"/>
          <w:lang w:val="en-US"/>
        </w:rPr>
      </w:pPr>
    </w:p>
    <w:p w14:paraId="053B31F1">
      <w:pPr>
        <w:rPr>
          <w:rFonts w:hint="default"/>
          <w:lang w:val="en-US"/>
        </w:rPr>
      </w:pPr>
    </w:p>
    <w:p w14:paraId="7BCA2AFC">
      <w:pPr>
        <w:rPr>
          <w:rFonts w:hint="default"/>
          <w:lang w:val="en-US"/>
        </w:rPr>
      </w:pPr>
    </w:p>
    <w:p w14:paraId="55FF87BB">
      <w:pPr>
        <w:rPr>
          <w:rFonts w:hint="default"/>
          <w:lang w:val="en-US"/>
        </w:rPr>
      </w:pPr>
    </w:p>
    <w:p w14:paraId="7EE2B5C1">
      <w:pPr>
        <w:jc w:val="center"/>
        <w:rPr>
          <w:rFonts w:hint="default"/>
          <w:lang w:val="en-US"/>
        </w:rPr>
      </w:pPr>
      <w:r>
        <w:rPr>
          <w:rFonts w:hint="default"/>
          <w:b/>
          <w:bCs/>
          <w:color w:val="C55A11" w:themeColor="accent2" w:themeShade="BF"/>
          <w:sz w:val="32"/>
          <w:szCs w:val="32"/>
          <w:lang w:val="en-US"/>
        </w:rPr>
        <w:t>Exploratory Data Analysis (EDA)</w:t>
      </w:r>
    </w:p>
    <w:p w14:paraId="53A3F50B">
      <w:pPr>
        <w:rPr>
          <w:rFonts w:hint="default"/>
          <w:lang w:val="en-US"/>
        </w:rPr>
      </w:pPr>
    </w:p>
    <w:p w14:paraId="689C9D92">
      <w:pPr>
        <w:numPr>
          <w:ilvl w:val="0"/>
          <w:numId w:val="0"/>
        </w:numPr>
        <w:jc w:val="left"/>
        <w:rPr>
          <w:rFonts w:hint="default"/>
          <w:b/>
          <w:bCs/>
          <w:color w:val="1C857A"/>
          <w:sz w:val="22"/>
          <w:szCs w:val="22"/>
          <w:lang w:val="en-US"/>
        </w:rPr>
      </w:pPr>
      <w:r>
        <w:rPr>
          <w:rFonts w:hint="default"/>
          <w:b w:val="0"/>
          <w:bCs w:val="0"/>
          <w:color w:val="000000" w:themeColor="text1"/>
          <w:sz w:val="20"/>
          <w:szCs w:val="20"/>
          <w:lang w:val="en-US" w:eastAsia="zh-CN"/>
          <w14:textFill>
            <w14:solidFill>
              <w14:schemeClr w14:val="tx1"/>
            </w14:solidFill>
          </w14:textFill>
        </w:rPr>
        <w:t>The EDA seeks to find significant patterns and trends by methodically examining the cleaned and merged dataset, "</w:t>
      </w:r>
      <w:r>
        <w:rPr>
          <w:rFonts w:hint="default"/>
          <w:b/>
          <w:bCs/>
          <w:color w:val="000000" w:themeColor="text1"/>
          <w:sz w:val="20"/>
          <w:szCs w:val="20"/>
          <w:lang w:val="en-US" w:eastAsia="zh-CN"/>
          <w14:textFill>
            <w14:solidFill>
              <w14:schemeClr w14:val="tx1"/>
            </w14:solidFill>
          </w14:textFill>
        </w:rPr>
        <w:t>Outreach_Campaign_Applicants_FinalData.csv</w:t>
      </w:r>
      <w:r>
        <w:rPr>
          <w:rFonts w:hint="default"/>
          <w:b w:val="0"/>
          <w:bCs w:val="0"/>
          <w:color w:val="000000" w:themeColor="text1"/>
          <w:sz w:val="20"/>
          <w:szCs w:val="20"/>
          <w:lang w:val="en-US" w:eastAsia="zh-CN"/>
          <w14:textFill>
            <w14:solidFill>
              <w14:schemeClr w14:val="tx1"/>
            </w14:solidFill>
          </w14:textFill>
        </w:rPr>
        <w:t>." It looks at campaign types, timing patterns, applicant distribution by nation and university, outreach volumes, and response results. These insights offer a starting point for comprehending performance, determining which parts perform well and poorly, and guiding data-driven choices for enhancing upcoming outreach initiatives.</w:t>
      </w:r>
    </w:p>
    <w:p w14:paraId="64B14A7C">
      <w:pPr>
        <w:pStyle w:val="9"/>
        <w:keepNext w:val="0"/>
        <w:keepLines w:val="0"/>
        <w:widowControl/>
        <w:suppressLineNumbers w:val="0"/>
        <w:rPr>
          <w:rFonts w:hint="default" w:ascii="Calibri" w:hAnsi="Calibri" w:cs="Calibri"/>
          <w:b/>
          <w:bCs/>
          <w:color w:val="2AA59B"/>
          <w:sz w:val="22"/>
          <w:szCs w:val="22"/>
          <w:lang w:val="en-US"/>
        </w:rPr>
      </w:pPr>
      <w:r>
        <w:rPr>
          <w:rFonts w:hint="default" w:ascii="Calibri" w:hAnsi="Calibri" w:cs="Calibri"/>
          <w:b/>
          <w:bCs/>
          <w:color w:val="2AA59B"/>
          <w:sz w:val="22"/>
          <w:szCs w:val="22"/>
          <w:lang w:val="en-US"/>
        </w:rPr>
        <w:t>An overview of the Dataset:</w:t>
      </w:r>
    </w:p>
    <w:p w14:paraId="36CD5392">
      <w:pPr>
        <w:pStyle w:val="9"/>
        <w:keepNext w:val="0"/>
        <w:keepLines w:val="0"/>
        <w:widowControl/>
        <w:suppressLineNumbers w:val="0"/>
        <w:rPr>
          <w:rFonts w:hint="default"/>
          <w:b/>
          <w:bCs/>
          <w:color w:val="1C857A"/>
          <w:sz w:val="22"/>
          <w:szCs w:val="22"/>
          <w:lang w:val="en-US"/>
        </w:rPr>
      </w:pPr>
      <w:r>
        <w:drawing>
          <wp:inline distT="0" distB="0" distL="114300" distR="114300">
            <wp:extent cx="5675630" cy="2340610"/>
            <wp:effectExtent l="0" t="0" r="5715" b="10795"/>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6"/>
                    <a:stretch>
                      <a:fillRect/>
                    </a:stretch>
                  </pic:blipFill>
                  <pic:spPr>
                    <a:xfrm>
                      <a:off x="0" y="0"/>
                      <a:ext cx="5675630" cy="2340610"/>
                    </a:xfrm>
                    <a:prstGeom prst="rect">
                      <a:avLst/>
                    </a:prstGeom>
                    <a:noFill/>
                    <a:ln w="9525">
                      <a:noFill/>
                    </a:ln>
                  </pic:spPr>
                </pic:pic>
              </a:graphicData>
            </a:graphic>
          </wp:inline>
        </w:drawing>
      </w:r>
    </w:p>
    <w:p w14:paraId="5EAFE4A3">
      <w:pPr>
        <w:numPr>
          <w:ilvl w:val="0"/>
          <w:numId w:val="0"/>
        </w:numPr>
        <w:jc w:val="left"/>
        <w:rPr>
          <w:rFonts w:hint="default"/>
          <w:b/>
          <w:bCs/>
          <w:color w:val="1C857A"/>
          <w:sz w:val="22"/>
          <w:szCs w:val="22"/>
          <w:lang w:val="en-US"/>
        </w:rPr>
      </w:pPr>
      <w:r>
        <w:rPr>
          <w:rFonts w:hint="default"/>
          <w:b/>
          <w:bCs/>
          <w:color w:val="1C857A"/>
          <w:sz w:val="22"/>
          <w:szCs w:val="22"/>
          <w:lang w:val="en-US"/>
        </w:rPr>
        <w:t>Descriptive Statistics including new Featured columns:</w:t>
      </w:r>
    </w:p>
    <w:p w14:paraId="04725406">
      <w:pPr>
        <w:jc w:val="left"/>
        <w:rPr>
          <w:rFonts w:hint="default"/>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2"/>
        <w:gridCol w:w="637"/>
        <w:gridCol w:w="991"/>
        <w:gridCol w:w="1093"/>
        <w:gridCol w:w="637"/>
        <w:gridCol w:w="739"/>
        <w:gridCol w:w="739"/>
        <w:gridCol w:w="739"/>
        <w:gridCol w:w="1360"/>
      </w:tblGrid>
      <w:tr w14:paraId="5D734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1D691674">
            <w:pPr>
              <w:jc w:val="left"/>
              <w:rPr>
                <w:rFonts w:hint="default"/>
                <w:b/>
                <w:bCs/>
                <w:lang w:val="en-US"/>
              </w:rPr>
            </w:pPr>
            <w:r>
              <w:rPr>
                <w:rFonts w:hint="default"/>
                <w:b/>
                <w:bCs/>
                <w:lang w:val="en-US" w:eastAsia="zh-CN"/>
              </w:rPr>
              <w:t>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035E25">
            <w:pPr>
              <w:jc w:val="left"/>
              <w:rPr>
                <w:rFonts w:hint="default"/>
                <w:b/>
                <w:bCs/>
                <w:lang w:val="en-US"/>
              </w:rPr>
            </w:pPr>
            <w:r>
              <w:rPr>
                <w:rFonts w:hint="default"/>
                <w:b/>
                <w:bCs/>
                <w:lang w:val="en-US" w:eastAsia="zh-CN"/>
              </w:rPr>
              <w:t>Count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9CB97D">
            <w:pPr>
              <w:jc w:val="left"/>
              <w:rPr>
                <w:rFonts w:hint="default"/>
                <w:b/>
                <w:bCs/>
                <w:lang w:val="en-US"/>
              </w:rPr>
            </w:pPr>
            <w:r>
              <w:rPr>
                <w:rFonts w:hint="default"/>
                <w:b/>
                <w:bCs/>
                <w:lang w:val="en-US" w:eastAsia="zh-CN"/>
              </w:rPr>
              <w:t>Mean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931FF7">
            <w:pPr>
              <w:jc w:val="left"/>
              <w:rPr>
                <w:rFonts w:hint="default"/>
                <w:b/>
                <w:bCs/>
                <w:lang w:val="en-US"/>
              </w:rPr>
            </w:pPr>
            <w:r>
              <w:rPr>
                <w:rFonts w:hint="default"/>
                <w:b/>
                <w:bCs/>
                <w:lang w:val="en-US" w:eastAsia="zh-CN"/>
              </w:rPr>
              <w:t>Std Dev</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FB3377">
            <w:pPr>
              <w:jc w:val="left"/>
              <w:rPr>
                <w:rFonts w:hint="default"/>
                <w:b/>
                <w:bCs/>
                <w:lang w:val="en-US"/>
              </w:rPr>
            </w:pPr>
            <w:r>
              <w:rPr>
                <w:rFonts w:hint="default"/>
                <w:b/>
                <w:bCs/>
                <w:lang w:val="en-US" w:eastAsia="zh-CN"/>
              </w:rPr>
              <w:t>Min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704F2B">
            <w:pPr>
              <w:jc w:val="left"/>
              <w:rPr>
                <w:rFonts w:hint="default"/>
                <w:b/>
                <w:bCs/>
                <w:lang w:val="en-US"/>
              </w:rPr>
            </w:pPr>
            <w:r>
              <w:rPr>
                <w:rFonts w:hint="default"/>
                <w:b/>
                <w:bCs/>
                <w:lang w:val="en-US" w:eastAsia="zh-CN"/>
              </w:rPr>
              <w:t>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0FAFC9">
            <w:pPr>
              <w:jc w:val="left"/>
              <w:rPr>
                <w:rFonts w:hint="default"/>
                <w:b/>
                <w:bCs/>
                <w:lang w:val="en-US"/>
              </w:rPr>
            </w:pPr>
            <w:r>
              <w:rPr>
                <w:rFonts w:hint="default"/>
                <w:b/>
                <w:bCs/>
                <w:lang w:val="en-US" w:eastAsia="zh-CN"/>
              </w:rPr>
              <w:t>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5A6377">
            <w:pPr>
              <w:jc w:val="left"/>
              <w:rPr>
                <w:rFonts w:hint="default"/>
                <w:b/>
                <w:bCs/>
                <w:lang w:val="en-US"/>
              </w:rPr>
            </w:pPr>
            <w:r>
              <w:rPr>
                <w:rFonts w:hint="default"/>
                <w:b/>
                <w:bCs/>
                <w:lang w:val="en-US" w:eastAsia="zh-CN"/>
              </w:rPr>
              <w:t>75%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8CADF9">
            <w:pPr>
              <w:jc w:val="left"/>
              <w:rPr>
                <w:rFonts w:hint="default"/>
                <w:b/>
                <w:bCs/>
                <w:lang w:val="en-US"/>
              </w:rPr>
            </w:pPr>
            <w:r>
              <w:rPr>
                <w:rFonts w:hint="default"/>
                <w:b/>
                <w:bCs/>
                <w:lang w:val="en-US" w:eastAsia="zh-CN"/>
              </w:rPr>
              <w:t>Max</w:t>
            </w:r>
          </w:p>
        </w:tc>
      </w:tr>
      <w:tr w14:paraId="64C4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625FD9">
            <w:pPr>
              <w:jc w:val="left"/>
              <w:rPr>
                <w:rFonts w:hint="default"/>
                <w:lang w:val="en-US"/>
              </w:rPr>
            </w:pPr>
            <w:r>
              <w:rPr>
                <w:rFonts w:hint="default"/>
                <w:lang w:val="en-US" w:eastAsia="zh-CN"/>
              </w:rPr>
              <w:t>Reference 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F6F508">
            <w:pPr>
              <w:jc w:val="left"/>
              <w:rPr>
                <w:rFonts w:hint="default"/>
                <w:lang w:val="en-US"/>
              </w:rPr>
            </w:pPr>
            <w:r>
              <w:rPr>
                <w:rFonts w:hint="default"/>
                <w:lang w:val="en-US" w:eastAsia="zh-CN"/>
              </w:rPr>
              <w:t>39,717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9B8CB5">
            <w:pPr>
              <w:jc w:val="left"/>
              <w:rPr>
                <w:rFonts w:hint="default"/>
                <w:lang w:val="en-US"/>
              </w:rPr>
            </w:pPr>
            <w:r>
              <w:rPr>
                <w:rFonts w:hint="default"/>
                <w:lang w:val="en-US" w:eastAsia="zh-CN"/>
              </w:rPr>
              <w:t>13,599,380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83641A">
            <w:pPr>
              <w:jc w:val="left"/>
              <w:rPr>
                <w:rFonts w:hint="default"/>
                <w:lang w:val="en-US"/>
              </w:rPr>
            </w:pPr>
            <w:r>
              <w:rPr>
                <w:rFonts w:hint="default"/>
                <w:lang w:val="en-US" w:eastAsia="zh-CN"/>
              </w:rPr>
              <w:t>738,189,000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B9852E">
            <w:pPr>
              <w:jc w:val="left"/>
              <w:rPr>
                <w:rFonts w:hint="default"/>
                <w:lang w:val="en-US"/>
              </w:rPr>
            </w:pPr>
            <w:r>
              <w:rPr>
                <w:rFonts w:hint="default"/>
                <w:lang w:val="en-US" w:eastAsia="zh-CN"/>
              </w:rPr>
              <w:t>12,345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7D3B8C">
            <w:pPr>
              <w:jc w:val="left"/>
              <w:rPr>
                <w:rFonts w:hint="default"/>
                <w:lang w:val="en-US"/>
              </w:rPr>
            </w:pPr>
            <w:r>
              <w:rPr>
                <w:rFonts w:hint="default"/>
                <w:lang w:val="en-US" w:eastAsia="zh-CN"/>
              </w:rPr>
              <w:t>423,208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F6EB07">
            <w:pPr>
              <w:jc w:val="left"/>
              <w:rPr>
                <w:rFonts w:hint="default"/>
                <w:lang w:val="en-US"/>
              </w:rPr>
            </w:pPr>
            <w:r>
              <w:rPr>
                <w:rFonts w:hint="default"/>
                <w:lang w:val="en-US" w:eastAsia="zh-CN"/>
              </w:rPr>
              <w:t>446,795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6EE940">
            <w:pPr>
              <w:jc w:val="left"/>
              <w:rPr>
                <w:rFonts w:hint="default"/>
                <w:lang w:val="en-US"/>
              </w:rPr>
            </w:pPr>
            <w:r>
              <w:rPr>
                <w:rFonts w:hint="default"/>
                <w:lang w:val="en-US" w:eastAsia="zh-CN"/>
              </w:rPr>
              <w:t>474,171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884C25">
            <w:pPr>
              <w:jc w:val="left"/>
              <w:rPr>
                <w:rFonts w:hint="default"/>
                <w:lang w:val="en-US"/>
              </w:rPr>
            </w:pPr>
            <w:r>
              <w:rPr>
                <w:rFonts w:hint="default"/>
                <w:lang w:val="en-US" w:eastAsia="zh-CN"/>
              </w:rPr>
              <w:t>97,455,630,000</w:t>
            </w:r>
          </w:p>
        </w:tc>
      </w:tr>
      <w:tr w14:paraId="5106B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5DC905">
            <w:pPr>
              <w:jc w:val="left"/>
              <w:rPr>
                <w:rFonts w:hint="default"/>
                <w:lang w:val="en-US"/>
              </w:rPr>
            </w:pPr>
            <w:r>
              <w:rPr>
                <w:rFonts w:hint="default"/>
                <w:lang w:val="en-US" w:eastAsia="zh-CN"/>
              </w:rPr>
              <w:t>Hour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8A871E">
            <w:pPr>
              <w:jc w:val="left"/>
              <w:rPr>
                <w:rFonts w:hint="default"/>
                <w:lang w:val="en-US"/>
              </w:rPr>
            </w:pPr>
            <w:r>
              <w:rPr>
                <w:rFonts w:hint="default"/>
                <w:lang w:val="en-US" w:eastAsia="zh-CN"/>
              </w:rPr>
              <w:t>39,717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3B6585">
            <w:pPr>
              <w:jc w:val="left"/>
              <w:rPr>
                <w:rFonts w:hint="default"/>
                <w:lang w:val="en-US"/>
              </w:rPr>
            </w:pPr>
            <w:r>
              <w:rPr>
                <w:rFonts w:hint="default"/>
                <w:lang w:val="en-US" w:eastAsia="zh-CN"/>
              </w:rPr>
              <w:t>14.49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5B6E9A">
            <w:pPr>
              <w:jc w:val="left"/>
              <w:rPr>
                <w:rFonts w:hint="default"/>
                <w:lang w:val="en-US"/>
              </w:rPr>
            </w:pPr>
            <w:r>
              <w:rPr>
                <w:rFonts w:hint="default"/>
                <w:lang w:val="en-US" w:eastAsia="zh-CN"/>
              </w:rPr>
              <w:t>2.72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A7F543">
            <w:pPr>
              <w:jc w:val="left"/>
              <w:rPr>
                <w:rFonts w:hint="default"/>
                <w:lang w:val="en-US"/>
              </w:rPr>
            </w:pPr>
            <w:r>
              <w:rPr>
                <w:rFonts w:hint="default"/>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33A447">
            <w:pPr>
              <w:jc w:val="left"/>
              <w:rPr>
                <w:rFonts w:hint="default"/>
                <w:lang w:val="en-US"/>
              </w:rPr>
            </w:pPr>
            <w:r>
              <w:rPr>
                <w:rFonts w:hint="default"/>
                <w:lang w:val="en-US" w:eastAsia="zh-CN"/>
              </w:rPr>
              <w:t>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A3D457">
            <w:pPr>
              <w:jc w:val="left"/>
              <w:rPr>
                <w:rFonts w:hint="default"/>
                <w:lang w:val="en-US"/>
              </w:rPr>
            </w:pPr>
            <w:r>
              <w:rPr>
                <w:rFonts w:hint="default"/>
                <w:lang w:val="en-US" w:eastAsia="zh-CN"/>
              </w:rPr>
              <w:t>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4A616E">
            <w:pPr>
              <w:jc w:val="left"/>
              <w:rPr>
                <w:rFonts w:hint="default"/>
                <w:lang w:val="en-US"/>
              </w:rPr>
            </w:pPr>
            <w:r>
              <w:rPr>
                <w:rFonts w:hint="default"/>
                <w:lang w:val="en-US" w:eastAsia="zh-CN"/>
              </w:rPr>
              <w:t>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911E04">
            <w:pPr>
              <w:jc w:val="left"/>
              <w:rPr>
                <w:rFonts w:hint="default"/>
                <w:lang w:val="en-US"/>
              </w:rPr>
            </w:pPr>
            <w:r>
              <w:rPr>
                <w:rFonts w:hint="default"/>
                <w:lang w:val="en-US" w:eastAsia="zh-CN"/>
              </w:rPr>
              <w:t>22</w:t>
            </w:r>
          </w:p>
        </w:tc>
      </w:tr>
      <w:tr w14:paraId="4498E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28B84B">
            <w:pPr>
              <w:jc w:val="left"/>
              <w:rPr>
                <w:rFonts w:hint="default"/>
                <w:lang w:val="en-US"/>
              </w:rPr>
            </w:pPr>
            <w:r>
              <w:rPr>
                <w:rFonts w:hint="default"/>
                <w:lang w:val="en-US" w:eastAsia="zh-CN"/>
              </w:rPr>
              <w:t>Is_Response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CB0B9E">
            <w:pPr>
              <w:jc w:val="left"/>
              <w:rPr>
                <w:rFonts w:hint="default"/>
                <w:lang w:val="en-US"/>
              </w:rPr>
            </w:pPr>
            <w:r>
              <w:rPr>
                <w:rFonts w:hint="default"/>
                <w:lang w:val="en-US" w:eastAsia="zh-CN"/>
              </w:rPr>
              <w:t>39,717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8C050D">
            <w:pPr>
              <w:jc w:val="left"/>
              <w:rPr>
                <w:rFonts w:hint="default"/>
                <w:lang w:val="en-US"/>
              </w:rPr>
            </w:pPr>
            <w:r>
              <w:rPr>
                <w:rFonts w:hint="default"/>
                <w:lang w:val="en-US" w:eastAsia="zh-CN"/>
              </w:rPr>
              <w:t>0.013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C728ED">
            <w:pPr>
              <w:jc w:val="left"/>
              <w:rPr>
                <w:rFonts w:hint="default"/>
                <w:lang w:val="en-US"/>
              </w:rPr>
            </w:pPr>
            <w:r>
              <w:rPr>
                <w:rFonts w:hint="default"/>
                <w:lang w:val="en-US" w:eastAsia="zh-CN"/>
              </w:rPr>
              <w:t>0.113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F8CEA5">
            <w:pPr>
              <w:jc w:val="left"/>
              <w:rPr>
                <w:rFonts w:hint="default"/>
                <w:lang w:val="en-US"/>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5BE046">
            <w:pPr>
              <w:jc w:val="left"/>
              <w:rPr>
                <w:rFonts w:hint="default"/>
                <w:lang w:val="en-US"/>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DA35A9">
            <w:pPr>
              <w:jc w:val="left"/>
              <w:rPr>
                <w:rFonts w:hint="default"/>
                <w:lang w:val="en-US"/>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C016C9">
            <w:pPr>
              <w:jc w:val="left"/>
              <w:rPr>
                <w:rFonts w:hint="default"/>
                <w:lang w:val="en-US"/>
              </w:rPr>
            </w:pPr>
            <w:r>
              <w:rPr>
                <w:rFonts w:hint="default"/>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CC734F">
            <w:pPr>
              <w:jc w:val="left"/>
              <w:rPr>
                <w:rFonts w:hint="default"/>
                <w:lang w:val="en-US"/>
              </w:rPr>
            </w:pPr>
            <w:r>
              <w:rPr>
                <w:rFonts w:hint="default"/>
                <w:lang w:val="en-US" w:eastAsia="zh-CN"/>
              </w:rPr>
              <w:t>1</w:t>
            </w:r>
          </w:p>
        </w:tc>
      </w:tr>
      <w:tr w14:paraId="0B130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E3D5C8">
            <w:pPr>
              <w:jc w:val="left"/>
              <w:rPr>
                <w:rFonts w:hint="default"/>
                <w:lang w:val="en-US"/>
              </w:rPr>
            </w:pPr>
            <w:r>
              <w:rPr>
                <w:rFonts w:hint="default"/>
                <w:lang w:val="en-US" w:eastAsia="zh-CN"/>
              </w:rPr>
              <w:t>Is_Converted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FA1EBE">
            <w:pPr>
              <w:jc w:val="left"/>
              <w:rPr>
                <w:rFonts w:hint="default"/>
                <w:lang w:val="en-US"/>
              </w:rPr>
            </w:pPr>
            <w:r>
              <w:rPr>
                <w:rFonts w:hint="default"/>
                <w:lang w:val="en-US" w:eastAsia="zh-CN"/>
              </w:rPr>
              <w:t>39,717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647066">
            <w:pPr>
              <w:jc w:val="left"/>
              <w:rPr>
                <w:rFonts w:hint="default"/>
                <w:lang w:val="en-US"/>
              </w:rPr>
            </w:pPr>
            <w:r>
              <w:rPr>
                <w:rFonts w:hint="default"/>
                <w:lang w:val="en-US" w:eastAsia="zh-CN"/>
              </w:rPr>
              <w:t>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224C51">
            <w:pPr>
              <w:jc w:val="left"/>
              <w:rPr>
                <w:rFonts w:hint="default"/>
                <w:lang w:val="en-US"/>
              </w:rPr>
            </w:pPr>
            <w:r>
              <w:rPr>
                <w:rFonts w:hint="default"/>
                <w:lang w:val="en-US" w:eastAsia="zh-CN"/>
              </w:rPr>
              <w:t>0.00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4B4255">
            <w:pPr>
              <w:jc w:val="left"/>
              <w:rPr>
                <w:rFonts w:hint="default"/>
                <w:lang w:val="en-US"/>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6CA7F9">
            <w:pPr>
              <w:jc w:val="left"/>
              <w:rPr>
                <w:rFonts w:hint="default"/>
                <w:lang w:val="en-US"/>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9C8C8B">
            <w:pPr>
              <w:jc w:val="left"/>
              <w:rPr>
                <w:rFonts w:hint="default"/>
                <w:lang w:val="en-US"/>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EB7521">
            <w:pPr>
              <w:jc w:val="left"/>
              <w:rPr>
                <w:rFonts w:hint="default"/>
                <w:lang w:val="en-US"/>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8359DC">
            <w:pPr>
              <w:jc w:val="left"/>
              <w:rPr>
                <w:rFonts w:hint="default"/>
                <w:lang w:val="en-US"/>
              </w:rPr>
            </w:pPr>
            <w:r>
              <w:rPr>
                <w:rFonts w:hint="default"/>
                <w:lang w:val="en-US" w:eastAsia="zh-CN"/>
              </w:rPr>
              <w:t>1</w:t>
            </w:r>
          </w:p>
        </w:tc>
      </w:tr>
    </w:tbl>
    <w:p w14:paraId="72475B3A">
      <w:pPr>
        <w:jc w:val="left"/>
        <w:rPr>
          <w:rFonts w:hint="default"/>
          <w:lang w:val="en-US"/>
        </w:rPr>
      </w:pPr>
    </w:p>
    <w:p w14:paraId="4B096414">
      <w:pPr>
        <w:numPr>
          <w:ilvl w:val="0"/>
          <w:numId w:val="3"/>
        </w:numPr>
        <w:tabs>
          <w:tab w:val="clear" w:pos="420"/>
        </w:tabs>
        <w:ind w:left="420" w:leftChars="0" w:hanging="420" w:firstLineChars="0"/>
        <w:jc w:val="left"/>
        <w:rPr>
          <w:rFonts w:hint="default"/>
          <w:lang w:val="en-US"/>
        </w:rPr>
      </w:pPr>
      <w:r>
        <w:rPr>
          <w:rFonts w:hint="default"/>
          <w:lang w:val="en-US"/>
        </w:rPr>
        <w:t>Reference ID shows the unique identifier for each outreach.</w:t>
      </w:r>
    </w:p>
    <w:p w14:paraId="07030DC1">
      <w:pPr>
        <w:numPr>
          <w:ilvl w:val="0"/>
          <w:numId w:val="4"/>
        </w:numPr>
        <w:ind w:left="420" w:leftChars="0" w:hanging="420" w:firstLineChars="0"/>
        <w:jc w:val="left"/>
        <w:rPr>
          <w:rFonts w:hint="default"/>
          <w:lang w:val="en-US"/>
        </w:rPr>
      </w:pPr>
      <w:r>
        <w:rPr>
          <w:rFonts w:hint="default"/>
          <w:lang w:val="en-US"/>
        </w:rPr>
        <w:t>Hour represents the time of day the outreach occurred.</w:t>
      </w:r>
    </w:p>
    <w:p w14:paraId="6D777852">
      <w:pPr>
        <w:numPr>
          <w:ilvl w:val="0"/>
          <w:numId w:val="5"/>
        </w:numPr>
        <w:tabs>
          <w:tab w:val="clear" w:pos="420"/>
        </w:tabs>
        <w:ind w:left="420" w:leftChars="0" w:hanging="420" w:firstLineChars="0"/>
        <w:jc w:val="left"/>
        <w:rPr>
          <w:rFonts w:hint="default"/>
          <w:lang w:val="en-US"/>
        </w:rPr>
      </w:pPr>
      <w:r>
        <w:rPr>
          <w:rFonts w:hint="default"/>
          <w:lang w:val="en-US"/>
        </w:rPr>
        <w:t>Is_Response is binary (0 = no response, 1 = response).</w:t>
      </w:r>
    </w:p>
    <w:p w14:paraId="5A6B01D3">
      <w:pPr>
        <w:numPr>
          <w:ilvl w:val="0"/>
          <w:numId w:val="6"/>
        </w:numPr>
        <w:ind w:left="420" w:leftChars="0" w:hanging="420" w:firstLineChars="0"/>
        <w:jc w:val="left"/>
        <w:rPr>
          <w:rFonts w:hint="default"/>
          <w:lang w:val="en-US"/>
        </w:rPr>
      </w:pPr>
      <w:r>
        <w:rPr>
          <w:rFonts w:hint="default"/>
          <w:lang w:val="en-US"/>
        </w:rPr>
        <w:t>Is_Converted indicates conversion status, which is uniform in this dataset.</w:t>
      </w:r>
      <w:r>
        <w:rPr>
          <w:rFonts w:hint="default"/>
          <w:lang w:val="en-US"/>
        </w:rPr>
        <w:br w:type="textWrapping"/>
      </w:r>
    </w:p>
    <w:p w14:paraId="00B2C394">
      <w:pPr>
        <w:numPr>
          <w:ilvl w:val="0"/>
          <w:numId w:val="7"/>
        </w:numPr>
        <w:jc w:val="left"/>
        <w:rPr>
          <w:rFonts w:hint="default"/>
          <w:b/>
          <w:bCs/>
          <w:color w:val="1C857A"/>
          <w:lang w:val="en-US"/>
        </w:rPr>
      </w:pPr>
      <w:r>
        <w:rPr>
          <w:rFonts w:hint="default"/>
          <w:b/>
          <w:bCs/>
          <w:color w:val="1C857A"/>
          <w:lang w:val="en-US"/>
        </w:rPr>
        <w:t>Distribution of Outreach Hour</w:t>
      </w:r>
    </w:p>
    <w:p w14:paraId="4112B8C6">
      <w:pPr>
        <w:numPr>
          <w:ilvl w:val="0"/>
          <w:numId w:val="0"/>
        </w:numPr>
        <w:jc w:val="left"/>
        <w:rPr>
          <w:rFonts w:hint="default"/>
          <w:lang w:val="en-US"/>
        </w:rPr>
      </w:pPr>
    </w:p>
    <w:p w14:paraId="1A2C0555">
      <w:pPr>
        <w:numPr>
          <w:ilvl w:val="0"/>
          <w:numId w:val="0"/>
        </w:numPr>
        <w:jc w:val="center"/>
      </w:pPr>
      <w:r>
        <w:drawing>
          <wp:inline distT="0" distB="0" distL="114300" distR="114300">
            <wp:extent cx="4111625" cy="2003425"/>
            <wp:effectExtent l="0" t="0" r="6985" b="1206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7"/>
                    <a:stretch>
                      <a:fillRect/>
                    </a:stretch>
                  </pic:blipFill>
                  <pic:spPr>
                    <a:xfrm>
                      <a:off x="0" y="0"/>
                      <a:ext cx="4111625" cy="2003425"/>
                    </a:xfrm>
                    <a:prstGeom prst="rect">
                      <a:avLst/>
                    </a:prstGeom>
                    <a:noFill/>
                    <a:ln>
                      <a:noFill/>
                    </a:ln>
                  </pic:spPr>
                </pic:pic>
              </a:graphicData>
            </a:graphic>
          </wp:inline>
        </w:drawing>
      </w:r>
    </w:p>
    <w:p w14:paraId="7E4F06FA">
      <w:pPr>
        <w:numPr>
          <w:ilvl w:val="0"/>
          <w:numId w:val="0"/>
        </w:numPr>
        <w:jc w:val="center"/>
        <w:rPr>
          <w:rFonts w:hint="default"/>
          <w:lang w:val="en-US" w:eastAsia="zh-CN"/>
        </w:rPr>
      </w:pPr>
    </w:p>
    <w:p w14:paraId="7A690B83">
      <w:pPr>
        <w:numPr>
          <w:ilvl w:val="0"/>
          <w:numId w:val="0"/>
        </w:numPr>
        <w:jc w:val="left"/>
        <w:rPr>
          <w:rFonts w:hint="default"/>
          <w:lang w:val="en-US"/>
        </w:rPr>
      </w:pPr>
      <w:r>
        <w:rPr>
          <w:rFonts w:hint="default"/>
          <w:lang w:val="en-US" w:eastAsia="zh-CN"/>
        </w:rPr>
        <w:t>The “Distribution of Outreach by Hour” chart indicates hourly outreach activity, with low counts before 10 AM and after 7 PM, and persistent high activity between 11 AM and 7 PM. Around 11:30 AM, 1:30 PM, 3:30 PM, 5:30 PM, and 7 PM, peaks show up, indicating planned shifts or breaks. This knowledge aids in the optimization of personnel, resource distribution, and operational effectiveness. It also directs strategic scheduling to enhance the efficacy of outreach and permits precise forecasting and performance tracking.</w:t>
      </w:r>
    </w:p>
    <w:p w14:paraId="5A2777BD">
      <w:pPr>
        <w:numPr>
          <w:ilvl w:val="0"/>
          <w:numId w:val="0"/>
        </w:numPr>
        <w:jc w:val="left"/>
        <w:rPr>
          <w:rFonts w:hint="default"/>
          <w:lang w:val="en-US"/>
        </w:rPr>
      </w:pPr>
    </w:p>
    <w:p w14:paraId="599C44D9">
      <w:pPr>
        <w:numPr>
          <w:ilvl w:val="0"/>
          <w:numId w:val="0"/>
        </w:numPr>
        <w:jc w:val="left"/>
        <w:rPr>
          <w:rFonts w:hint="default"/>
          <w:lang w:val="en-US"/>
        </w:rPr>
      </w:pPr>
    </w:p>
    <w:p w14:paraId="4A250BA2">
      <w:pPr>
        <w:numPr>
          <w:ilvl w:val="0"/>
          <w:numId w:val="7"/>
        </w:numPr>
        <w:jc w:val="left"/>
        <w:rPr>
          <w:rFonts w:hint="default"/>
          <w:b/>
          <w:bCs/>
          <w:color w:val="1C857A"/>
          <w:lang w:val="en-US"/>
        </w:rPr>
      </w:pPr>
      <w:r>
        <w:rPr>
          <w:rFonts w:hint="default"/>
          <w:b/>
          <w:bCs/>
          <w:color w:val="1C857A"/>
          <w:lang w:val="en-US"/>
        </w:rPr>
        <w:t>Weekly Outreach Pattern</w:t>
      </w:r>
    </w:p>
    <w:p w14:paraId="3CB05B2F">
      <w:pPr>
        <w:numPr>
          <w:ilvl w:val="0"/>
          <w:numId w:val="0"/>
        </w:numPr>
        <w:jc w:val="left"/>
        <w:rPr>
          <w:rFonts w:hint="default"/>
          <w:lang w:val="en-US"/>
        </w:rPr>
      </w:pPr>
    </w:p>
    <w:p w14:paraId="50432BBB">
      <w:pPr>
        <w:numPr>
          <w:ilvl w:val="0"/>
          <w:numId w:val="0"/>
        </w:numPr>
        <w:jc w:val="center"/>
      </w:pPr>
      <w:r>
        <w:drawing>
          <wp:inline distT="0" distB="0" distL="114300" distR="114300">
            <wp:extent cx="4416425" cy="2417445"/>
            <wp:effectExtent l="0" t="0" r="8890" b="698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8"/>
                    <a:stretch>
                      <a:fillRect/>
                    </a:stretch>
                  </pic:blipFill>
                  <pic:spPr>
                    <a:xfrm>
                      <a:off x="0" y="0"/>
                      <a:ext cx="4416425" cy="2417445"/>
                    </a:xfrm>
                    <a:prstGeom prst="rect">
                      <a:avLst/>
                    </a:prstGeom>
                    <a:noFill/>
                    <a:ln>
                      <a:noFill/>
                    </a:ln>
                  </pic:spPr>
                </pic:pic>
              </a:graphicData>
            </a:graphic>
          </wp:inline>
        </w:drawing>
      </w:r>
    </w:p>
    <w:p w14:paraId="54BBE408">
      <w:pPr>
        <w:numPr>
          <w:ilvl w:val="0"/>
          <w:numId w:val="0"/>
        </w:numPr>
        <w:jc w:val="center"/>
      </w:pPr>
    </w:p>
    <w:p w14:paraId="4CAF24BF">
      <w:pPr>
        <w:numPr>
          <w:ilvl w:val="0"/>
          <w:numId w:val="0"/>
        </w:numPr>
        <w:jc w:val="left"/>
      </w:pPr>
      <w:r>
        <w:t>The “Outreach Distribution by Day of Week” chart shows that outreach activity is heavily concentrated on weekdays, with Monday having the highest volume (over 8,000) and Friday slightly lower. Saturday sees a steep drop-off, and Sunday data is missing or zero. This insight is crucial for workforce planning, operational scheduling, and campaign timing, ensuring peak staffing during high-volume weekdays while reserving weekends for maintenance or low-priority activities, and helping allocate resources efficiently.</w:t>
      </w:r>
    </w:p>
    <w:p w14:paraId="70A33F60">
      <w:pPr>
        <w:numPr>
          <w:ilvl w:val="0"/>
          <w:numId w:val="0"/>
        </w:numPr>
        <w:jc w:val="left"/>
        <w:rPr>
          <w:rFonts w:hint="default"/>
          <w:lang w:val="en-US"/>
        </w:rPr>
      </w:pPr>
    </w:p>
    <w:p w14:paraId="601ACC2A">
      <w:pPr>
        <w:numPr>
          <w:ilvl w:val="0"/>
          <w:numId w:val="7"/>
        </w:numPr>
        <w:jc w:val="left"/>
        <w:rPr>
          <w:rFonts w:hint="default"/>
          <w:b/>
          <w:bCs/>
          <w:color w:val="1C857A"/>
          <w:lang w:val="en-US"/>
        </w:rPr>
      </w:pPr>
      <w:r>
        <w:rPr>
          <w:rFonts w:hint="default"/>
          <w:b/>
          <w:bCs/>
          <w:color w:val="1C857A"/>
          <w:lang w:val="en-US"/>
        </w:rPr>
        <w:t>Response Rate Distribution</w:t>
      </w:r>
    </w:p>
    <w:p w14:paraId="6D529955">
      <w:pPr>
        <w:numPr>
          <w:ilvl w:val="0"/>
          <w:numId w:val="0"/>
        </w:numPr>
        <w:jc w:val="left"/>
        <w:rPr>
          <w:rFonts w:hint="default"/>
          <w:lang w:val="en-US"/>
        </w:rPr>
      </w:pPr>
    </w:p>
    <w:p w14:paraId="6D41500E">
      <w:pPr>
        <w:numPr>
          <w:ilvl w:val="0"/>
          <w:numId w:val="0"/>
        </w:numPr>
        <w:jc w:val="center"/>
      </w:pPr>
      <w:r>
        <w:drawing>
          <wp:inline distT="0" distB="0" distL="114300" distR="114300">
            <wp:extent cx="2960370" cy="2129790"/>
            <wp:effectExtent l="0" t="0" r="4445" b="254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9"/>
                    <a:stretch>
                      <a:fillRect/>
                    </a:stretch>
                  </pic:blipFill>
                  <pic:spPr>
                    <a:xfrm>
                      <a:off x="0" y="0"/>
                      <a:ext cx="2960370" cy="2129790"/>
                    </a:xfrm>
                    <a:prstGeom prst="rect">
                      <a:avLst/>
                    </a:prstGeom>
                    <a:noFill/>
                    <a:ln>
                      <a:noFill/>
                    </a:ln>
                  </pic:spPr>
                </pic:pic>
              </a:graphicData>
            </a:graphic>
          </wp:inline>
        </w:drawing>
      </w:r>
    </w:p>
    <w:p w14:paraId="65CE48D5">
      <w:pPr>
        <w:numPr>
          <w:ilvl w:val="0"/>
          <w:numId w:val="0"/>
        </w:numPr>
        <w:jc w:val="left"/>
      </w:pPr>
      <w:r>
        <w:t>The “Response Rate Distribution” chart shows that the vast majority of outreach attempts result in no response, with “Yes” responses forming less than 2% of the total (~500 out of 40,000). This highlights a critical inefficiency in the outreach process, emphasizing the need to improve targeting, messaging, and timing.</w:t>
      </w:r>
    </w:p>
    <w:p w14:paraId="53FC1626">
      <w:pPr>
        <w:numPr>
          <w:ilvl w:val="0"/>
          <w:numId w:val="0"/>
        </w:numPr>
        <w:jc w:val="left"/>
        <w:rPr>
          <w:rFonts w:hint="default"/>
          <w:lang w:val="en-US"/>
        </w:rPr>
      </w:pPr>
    </w:p>
    <w:p w14:paraId="365441E7">
      <w:pPr>
        <w:numPr>
          <w:ilvl w:val="0"/>
          <w:numId w:val="7"/>
        </w:numPr>
        <w:jc w:val="left"/>
        <w:rPr>
          <w:rFonts w:hint="default"/>
          <w:b/>
          <w:bCs/>
          <w:color w:val="1C857A"/>
          <w:lang w:val="en-US"/>
        </w:rPr>
      </w:pPr>
      <w:r>
        <w:rPr>
          <w:rFonts w:hint="default"/>
          <w:b/>
          <w:bCs/>
          <w:color w:val="1C857A"/>
          <w:lang w:val="en-US"/>
        </w:rPr>
        <w:t>Correlation &amp; Relationship Insights</w:t>
      </w:r>
    </w:p>
    <w:p w14:paraId="532BE79C">
      <w:pPr>
        <w:numPr>
          <w:ilvl w:val="0"/>
          <w:numId w:val="0"/>
        </w:numPr>
        <w:jc w:val="left"/>
        <w:rPr>
          <w:rFonts w:hint="default"/>
          <w:b w:val="0"/>
          <w:bCs w:val="0"/>
          <w:color w:val="000000" w:themeColor="text1"/>
          <w:lang w:val="en-US"/>
          <w14:textFill>
            <w14:solidFill>
              <w14:schemeClr w14:val="tx1"/>
            </w14:solidFill>
          </w14:textFill>
        </w:rPr>
      </w:pPr>
    </w:p>
    <w:p w14:paraId="66C0605A">
      <w:pPr>
        <w:numPr>
          <w:ilvl w:val="0"/>
          <w:numId w:val="0"/>
        </w:numPr>
        <w:jc w:val="center"/>
        <w:rPr>
          <w:sz w:val="20"/>
        </w:rPr>
      </w:pPr>
      <w:r>
        <w:rPr>
          <w:rFonts w:ascii="Calibri" w:hAnsi="Calibri" w:eastAsia="Calibri" w:cs="Calibri"/>
          <w:b w:val="0"/>
          <w:i w:val="0"/>
          <w:smallCaps w:val="0"/>
          <w:strike w:val="0"/>
          <w:color w:val="000000"/>
          <w:sz w:val="24"/>
          <w:szCs w:val="24"/>
          <w:u w:val="none"/>
          <w:shd w:val="clear" w:fill="auto"/>
          <w:vertAlign w:val="baseline"/>
        </w:rPr>
        <w:drawing>
          <wp:inline distT="19050" distB="19050" distL="19050" distR="19050">
            <wp:extent cx="3159125" cy="2691765"/>
            <wp:effectExtent l="0" t="0" r="10160" b="10160"/>
            <wp:docPr id="22" name="image2.png"/>
            <wp:cNvGraphicFramePr/>
            <a:graphic xmlns:a="http://schemas.openxmlformats.org/drawingml/2006/main">
              <a:graphicData uri="http://schemas.openxmlformats.org/drawingml/2006/picture">
                <pic:pic xmlns:pic="http://schemas.openxmlformats.org/drawingml/2006/picture">
                  <pic:nvPicPr>
                    <pic:cNvPr id="22" name="image2.png"/>
                    <pic:cNvPicPr preferRelativeResize="0"/>
                  </pic:nvPicPr>
                  <pic:blipFill>
                    <a:blip r:embed="rId10"/>
                    <a:srcRect/>
                    <a:stretch>
                      <a:fillRect/>
                    </a:stretch>
                  </pic:blipFill>
                  <pic:spPr>
                    <a:xfrm>
                      <a:off x="0" y="0"/>
                      <a:ext cx="3159125" cy="2691765"/>
                    </a:xfrm>
                    <a:prstGeom prst="rect">
                      <a:avLst/>
                    </a:prstGeom>
                  </pic:spPr>
                </pic:pic>
              </a:graphicData>
            </a:graphic>
          </wp:inline>
        </w:drawing>
      </w:r>
    </w:p>
    <w:p w14:paraId="7FB370CC">
      <w:pPr>
        <w:numPr>
          <w:ilvl w:val="0"/>
          <w:numId w:val="0"/>
        </w:numPr>
        <w:jc w:val="both"/>
      </w:pPr>
    </w:p>
    <w:p w14:paraId="0B9A857D">
      <w:pPr>
        <w:numPr>
          <w:ilvl w:val="0"/>
          <w:numId w:val="0"/>
        </w:numPr>
        <w:jc w:val="center"/>
      </w:pPr>
    </w:p>
    <w:p w14:paraId="5EC99B3D">
      <w:pPr>
        <w:numPr>
          <w:ilvl w:val="0"/>
          <w:numId w:val="0"/>
        </w:numPr>
        <w:jc w:val="left"/>
      </w:pPr>
      <w:r>
        <w:t>The Correlation Heatmap displays the linear relationships between Reference_ID, Call_Hour, and Phone_Length, showing all correlations are near zero (Reference_ID vs Call_Hour: 0.012; Reference_ID vs Phone_Length: −0.044; Call_Hour vs Phone_Length: 0.0084). This indicates no meaningful linear relationship between the variables, confirming that call duration and timing are independent of record sequence. The findings validate data integrity, guide modeling decisions (Call_Hour is not predictive of Phone_Length), and allow operational focus on each metric separately without concern for linear dependencies.</w:t>
      </w:r>
    </w:p>
    <w:p w14:paraId="0087F674">
      <w:pPr>
        <w:numPr>
          <w:ilvl w:val="0"/>
          <w:numId w:val="0"/>
        </w:numPr>
        <w:jc w:val="left"/>
      </w:pPr>
    </w:p>
    <w:p w14:paraId="0918A180">
      <w:pPr>
        <w:numPr>
          <w:ilvl w:val="0"/>
          <w:numId w:val="0"/>
        </w:numPr>
        <w:jc w:val="center"/>
        <w:rPr>
          <w:rFonts w:hint="default"/>
          <w:lang w:val="en-US"/>
        </w:rPr>
      </w:pPr>
      <w:r>
        <w:drawing>
          <wp:inline distT="0" distB="0" distL="114300" distR="114300">
            <wp:extent cx="2959100" cy="2215515"/>
            <wp:effectExtent l="0" t="0" r="5715" b="444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1"/>
                    <a:stretch>
                      <a:fillRect/>
                    </a:stretch>
                  </pic:blipFill>
                  <pic:spPr>
                    <a:xfrm>
                      <a:off x="0" y="0"/>
                      <a:ext cx="2959100" cy="2215515"/>
                    </a:xfrm>
                    <a:prstGeom prst="rect">
                      <a:avLst/>
                    </a:prstGeom>
                    <a:noFill/>
                    <a:ln>
                      <a:noFill/>
                    </a:ln>
                  </pic:spPr>
                </pic:pic>
              </a:graphicData>
            </a:graphic>
          </wp:inline>
        </w:drawing>
      </w:r>
    </w:p>
    <w:p w14:paraId="18C21A92">
      <w:pPr>
        <w:numPr>
          <w:ilvl w:val="0"/>
          <w:numId w:val="0"/>
        </w:numPr>
        <w:jc w:val="left"/>
        <w:rPr>
          <w:rFonts w:hint="default"/>
          <w:lang w:val="en-US"/>
        </w:rPr>
      </w:pPr>
      <w:r>
        <w:rPr>
          <w:rFonts w:hint="default"/>
          <w:lang w:val="en-US"/>
        </w:rPr>
        <w:t>The correlation matrix reveals an extremely weak positive correlation  between the hour of outreach and receiving a response. This indicates that the time of day has almost no impact on success, challenging assumptions about peak-hour effectiveness. .</w:t>
      </w:r>
    </w:p>
    <w:p w14:paraId="0A008777">
      <w:pPr>
        <w:jc w:val="left"/>
        <w:rPr>
          <w:rFonts w:hint="default"/>
          <w:b/>
          <w:bCs/>
          <w:color w:val="1C857A"/>
          <w:lang w:val="en-US"/>
        </w:rPr>
      </w:pPr>
    </w:p>
    <w:p w14:paraId="537CF14D">
      <w:pPr>
        <w:jc w:val="left"/>
        <w:rPr>
          <w:rFonts w:hint="default"/>
          <w:b/>
          <w:bCs/>
          <w:color w:val="1C857A"/>
          <w:lang w:val="en-US"/>
        </w:rPr>
      </w:pPr>
      <w:r>
        <w:rPr>
          <w:rFonts w:hint="default"/>
          <w:b/>
          <w:bCs/>
          <w:color w:val="1C857A"/>
          <w:lang w:val="en-US"/>
        </w:rPr>
        <w:t xml:space="preserve"> Interpretation Summary:</w:t>
      </w:r>
    </w:p>
    <w:p w14:paraId="712683FB">
      <w:pPr>
        <w:jc w:val="left"/>
        <w:rPr>
          <w:rFonts w:hint="default"/>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8"/>
        <w:gridCol w:w="2970"/>
        <w:gridCol w:w="3178"/>
      </w:tblGrid>
      <w:tr w14:paraId="4B1C2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2F91CC9">
            <w:pPr>
              <w:jc w:val="left"/>
              <w:rPr>
                <w:rFonts w:hint="default"/>
                <w:b/>
                <w:bCs/>
                <w:lang w:val="en-US"/>
              </w:rPr>
            </w:pPr>
            <w:r>
              <w:rPr>
                <w:rFonts w:hint="default"/>
                <w:b/>
                <w:bCs/>
                <w:lang w:val="en-US" w:eastAsia="zh-CN"/>
              </w:rPr>
              <w:t>Metric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282985">
            <w:pPr>
              <w:jc w:val="left"/>
              <w:rPr>
                <w:rFonts w:hint="default"/>
                <w:b/>
                <w:bCs/>
                <w:lang w:val="en-US"/>
              </w:rPr>
            </w:pPr>
            <w:r>
              <w:rPr>
                <w:rFonts w:hint="default"/>
                <w:b/>
                <w:bCs/>
                <w:lang w:val="en-US" w:eastAsia="zh-CN"/>
              </w:rPr>
              <w:t>Observation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27CE44">
            <w:pPr>
              <w:jc w:val="left"/>
              <w:rPr>
                <w:rFonts w:hint="default"/>
                <w:b/>
                <w:bCs/>
                <w:lang w:val="en-US"/>
              </w:rPr>
            </w:pPr>
            <w:r>
              <w:rPr>
                <w:rFonts w:hint="default"/>
                <w:b/>
                <w:bCs/>
                <w:lang w:val="en-US" w:eastAsia="zh-CN"/>
              </w:rPr>
              <w:t>Insight</w:t>
            </w:r>
          </w:p>
        </w:tc>
      </w:tr>
      <w:tr w14:paraId="1C1A5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431342">
            <w:pPr>
              <w:jc w:val="left"/>
              <w:rPr>
                <w:rFonts w:hint="default"/>
                <w:lang w:val="en-US"/>
              </w:rPr>
            </w:pPr>
            <w:r>
              <w:rPr>
                <w:rFonts w:hint="default"/>
                <w:lang w:val="en-US" w:eastAsia="zh-CN"/>
              </w:rPr>
              <w:t>Average Hour (14.5)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1D6352">
            <w:pPr>
              <w:jc w:val="left"/>
              <w:rPr>
                <w:rFonts w:hint="default"/>
                <w:lang w:val="en-US"/>
              </w:rPr>
            </w:pPr>
            <w:r>
              <w:rPr>
                <w:rFonts w:hint="default"/>
                <w:lang w:val="en-US" w:eastAsia="zh-CN"/>
              </w:rPr>
              <w:t>Most outreach happens in early afternoon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CA2F4D">
            <w:pPr>
              <w:jc w:val="left"/>
              <w:rPr>
                <w:rFonts w:hint="default"/>
                <w:lang w:val="en-US"/>
              </w:rPr>
            </w:pPr>
            <w:r>
              <w:rPr>
                <w:rFonts w:hint="default"/>
                <w:lang w:val="en-US" w:eastAsia="zh-CN"/>
              </w:rPr>
              <w:t>Indicates operational peak time</w:t>
            </w:r>
          </w:p>
        </w:tc>
      </w:tr>
      <w:tr w14:paraId="509DB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D204FD">
            <w:pPr>
              <w:jc w:val="left"/>
              <w:rPr>
                <w:rFonts w:hint="default"/>
                <w:lang w:val="en-US"/>
              </w:rPr>
            </w:pPr>
            <w:r>
              <w:rPr>
                <w:rFonts w:hint="default"/>
                <w:lang w:val="en-US" w:eastAsia="zh-CN"/>
              </w:rPr>
              <w:t>Response Rate (1.29%)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52A6D2">
            <w:pPr>
              <w:jc w:val="left"/>
              <w:rPr>
                <w:rFonts w:hint="default"/>
                <w:lang w:val="en-US"/>
              </w:rPr>
            </w:pPr>
            <w:r>
              <w:rPr>
                <w:rFonts w:hint="default"/>
                <w:lang w:val="en-US" w:eastAsia="zh-CN"/>
              </w:rPr>
              <w:t>Very low overall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D7CF3B">
            <w:pPr>
              <w:jc w:val="left"/>
              <w:rPr>
                <w:rFonts w:hint="default"/>
                <w:lang w:val="en-US"/>
              </w:rPr>
            </w:pPr>
            <w:r>
              <w:rPr>
                <w:rFonts w:hint="default"/>
                <w:lang w:val="en-US" w:eastAsia="zh-CN"/>
              </w:rPr>
              <w:t>Suggests need to improve targeting or timing</w:t>
            </w:r>
          </w:p>
        </w:tc>
      </w:tr>
      <w:tr w14:paraId="20401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ECDD21">
            <w:pPr>
              <w:jc w:val="left"/>
              <w:rPr>
                <w:rFonts w:hint="default"/>
                <w:lang w:val="en-US"/>
              </w:rPr>
            </w:pPr>
            <w:r>
              <w:rPr>
                <w:rFonts w:hint="default"/>
                <w:lang w:val="en-US" w:eastAsia="zh-CN"/>
              </w:rPr>
              <w:t>Conversion Rate (1.0 constant)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F7B2E1">
            <w:pPr>
              <w:jc w:val="left"/>
              <w:rPr>
                <w:rFonts w:hint="default"/>
                <w:lang w:val="en-US"/>
              </w:rPr>
            </w:pPr>
            <w:r>
              <w:rPr>
                <w:rFonts w:hint="default"/>
                <w:lang w:val="en-US" w:eastAsia="zh-CN"/>
              </w:rPr>
              <w:t>Likely data anomaly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F04880">
            <w:pPr>
              <w:jc w:val="left"/>
              <w:rPr>
                <w:rFonts w:hint="default"/>
                <w:lang w:val="en-US"/>
              </w:rPr>
            </w:pPr>
            <w:r>
              <w:rPr>
                <w:rFonts w:hint="default"/>
                <w:lang w:val="en-US" w:eastAsia="zh-CN"/>
              </w:rPr>
              <w:t>Requires validation</w:t>
            </w:r>
          </w:p>
        </w:tc>
      </w:tr>
      <w:tr w14:paraId="7438E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069C9D">
            <w:pPr>
              <w:jc w:val="left"/>
              <w:rPr>
                <w:rFonts w:hint="default"/>
                <w:lang w:val="en-US"/>
              </w:rPr>
            </w:pPr>
            <w:r>
              <w:rPr>
                <w:rFonts w:hint="default"/>
                <w:lang w:val="en-US" w:eastAsia="zh-CN"/>
              </w:rPr>
              <w:t>Weekday Distribution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CDA94F">
            <w:pPr>
              <w:jc w:val="left"/>
              <w:rPr>
                <w:rFonts w:hint="default"/>
                <w:lang w:val="en-US"/>
              </w:rPr>
            </w:pPr>
            <w:r>
              <w:rPr>
                <w:rFonts w:hint="default"/>
                <w:lang w:val="en-US" w:eastAsia="zh-CN"/>
              </w:rPr>
              <w:t>Even or skewed outreach pattern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259D5E">
            <w:pPr>
              <w:jc w:val="left"/>
              <w:rPr>
                <w:rFonts w:hint="default"/>
                <w:lang w:val="en-US"/>
              </w:rPr>
            </w:pPr>
            <w:r>
              <w:rPr>
                <w:rFonts w:hint="default"/>
                <w:lang w:val="en-US" w:eastAsia="zh-CN"/>
              </w:rPr>
              <w:t>Can guide optimal outreach scheduling</w:t>
            </w:r>
          </w:p>
        </w:tc>
      </w:tr>
      <w:tr w14:paraId="1C996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9C59A">
            <w:pPr>
              <w:jc w:val="left"/>
              <w:rPr>
                <w:rFonts w:hint="default"/>
                <w:lang w:val="en-US"/>
              </w:rPr>
            </w:pPr>
            <w:r>
              <w:rPr>
                <w:rFonts w:hint="default"/>
                <w:lang w:val="en-US" w:eastAsia="zh-CN"/>
              </w:rPr>
              <w:t>Hourly Engagement Trend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14E3A6">
            <w:pPr>
              <w:jc w:val="left"/>
              <w:rPr>
                <w:rFonts w:hint="default"/>
                <w:lang w:val="en-US"/>
              </w:rPr>
            </w:pPr>
            <w:r>
              <w:rPr>
                <w:rFonts w:hint="default"/>
                <w:lang w:val="en-US" w:eastAsia="zh-CN"/>
              </w:rPr>
              <w:t>High mid-day, low evening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F099DF">
            <w:pPr>
              <w:jc w:val="left"/>
              <w:rPr>
                <w:rFonts w:hint="default"/>
                <w:lang w:val="en-US"/>
              </w:rPr>
            </w:pPr>
            <w:r>
              <w:rPr>
                <w:rFonts w:hint="default"/>
                <w:lang w:val="en-US" w:eastAsia="zh-CN"/>
              </w:rPr>
              <w:t>Use to optimize call/response timing</w:t>
            </w:r>
          </w:p>
        </w:tc>
      </w:tr>
    </w:tbl>
    <w:p w14:paraId="0019F10E">
      <w:pPr>
        <w:rPr>
          <w:rFonts w:hint="default"/>
          <w:b/>
          <w:bCs/>
          <w:i/>
          <w:iCs/>
          <w:color w:val="AFABAB" w:themeColor="background2" w:themeShade="BF"/>
          <w:lang w:val="en-US"/>
        </w:rPr>
      </w:pPr>
    </w:p>
    <w:p w14:paraId="39E18B66">
      <w:pPr>
        <w:rPr>
          <w:rFonts w:hint="default"/>
          <w:lang w:val="en-US"/>
        </w:rPr>
      </w:pPr>
      <w:r>
        <w:rPr>
          <w:rFonts w:hint="default"/>
          <w:b/>
          <w:bCs/>
          <w:i/>
          <w:iCs/>
          <w:color w:val="AFABAB" w:themeColor="background2" w:themeShade="BF"/>
          <w:lang w:val="en-US"/>
        </w:rPr>
        <w:t>(Important Insights)</w:t>
      </w:r>
    </w:p>
    <w:p w14:paraId="716AD6BA">
      <w:pPr>
        <w:numPr>
          <w:ilvl w:val="0"/>
          <w:numId w:val="8"/>
        </w:numPr>
        <w:rPr>
          <w:rFonts w:hint="default"/>
          <w:b/>
          <w:bCs/>
          <w:color w:val="159594"/>
          <w:sz w:val="24"/>
          <w:szCs w:val="24"/>
          <w:lang w:val="en-US"/>
        </w:rPr>
      </w:pPr>
      <w:r>
        <w:rPr>
          <w:rFonts w:hint="default"/>
          <w:b/>
          <w:bCs/>
          <w:color w:val="159594"/>
          <w:sz w:val="24"/>
          <w:szCs w:val="24"/>
          <w:lang w:val="en-US"/>
        </w:rPr>
        <w:t>Outreach Campaign Performance Analysis</w:t>
      </w:r>
    </w:p>
    <w:p w14:paraId="63D8DA43">
      <w:pPr>
        <w:rPr>
          <w:rFonts w:hint="default"/>
          <w:lang w:val="en-US"/>
        </w:rPr>
      </w:pPr>
    </w:p>
    <w:p w14:paraId="3A941B75">
      <w:pPr>
        <w:numPr>
          <w:ilvl w:val="1"/>
          <w:numId w:val="8"/>
        </w:numPr>
        <w:rPr>
          <w:rFonts w:hint="default"/>
          <w:b/>
          <w:bCs/>
          <w:color w:val="159594"/>
          <w:sz w:val="22"/>
          <w:szCs w:val="22"/>
          <w:lang w:val="en-US"/>
        </w:rPr>
      </w:pPr>
      <w:r>
        <w:rPr>
          <w:rFonts w:hint="default"/>
          <w:b/>
          <w:bCs/>
          <w:color w:val="159594"/>
          <w:sz w:val="22"/>
          <w:szCs w:val="22"/>
          <w:lang w:val="en-US"/>
        </w:rPr>
        <w:t>Outreach Volume &amp; Timing Trends - by Month</w:t>
      </w:r>
    </w:p>
    <w:p w14:paraId="3A7A5AE0">
      <w:pPr>
        <w:rPr>
          <w:rFonts w:hint="default"/>
          <w:b/>
          <w:bCs/>
          <w:lang w:val="en-US"/>
        </w:rPr>
      </w:pPr>
    </w:p>
    <w:p w14:paraId="5AB50EA6">
      <w:pPr>
        <w:rPr>
          <w:rFonts w:hint="default"/>
          <w:lang w:val="en-US"/>
        </w:rPr>
      </w:pPr>
      <w:r>
        <w:rPr>
          <w:rFonts w:hint="default"/>
          <w:b/>
          <w:bCs/>
          <w:lang w:val="en-US"/>
        </w:rPr>
        <w:t>Insight Goal:</w:t>
      </w:r>
      <w:r>
        <w:rPr>
          <w:rFonts w:hint="default"/>
          <w:lang w:val="en-US"/>
        </w:rPr>
        <w:t xml:space="preserve"> Discovers which hours yield highest engagement, optimizing call or message timing.</w:t>
      </w:r>
    </w:p>
    <w:p w14:paraId="253C3903">
      <w:pPr>
        <w:numPr>
          <w:ilvl w:val="0"/>
          <w:numId w:val="0"/>
        </w:numPr>
        <w:ind w:leftChars="0"/>
        <w:rPr>
          <w:rFonts w:hint="default"/>
          <w:b/>
          <w:bCs/>
          <w:color w:val="159594"/>
          <w:sz w:val="22"/>
          <w:szCs w:val="22"/>
          <w:lang w:val="en-US"/>
        </w:rPr>
      </w:pPr>
    </w:p>
    <w:p w14:paraId="33DC1FE7">
      <w:pPr>
        <w:jc w:val="center"/>
      </w:pPr>
      <w:r>
        <w:drawing>
          <wp:inline distT="0" distB="0" distL="114300" distR="114300">
            <wp:extent cx="3632200" cy="2414270"/>
            <wp:effectExtent l="0" t="0" r="444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3632200" cy="2414270"/>
                    </a:xfrm>
                    <a:prstGeom prst="rect">
                      <a:avLst/>
                    </a:prstGeom>
                    <a:noFill/>
                    <a:ln>
                      <a:noFill/>
                    </a:ln>
                  </pic:spPr>
                </pic:pic>
              </a:graphicData>
            </a:graphic>
          </wp:inline>
        </w:drawing>
      </w:r>
    </w:p>
    <w:p w14:paraId="4945382F">
      <w:pPr>
        <w:jc w:val="left"/>
        <w:rPr>
          <w:rFonts w:hint="default"/>
          <w:lang w:val="en-US"/>
        </w:rPr>
      </w:pPr>
      <w:r>
        <w:rPr>
          <w:rFonts w:hint="default"/>
          <w:lang w:val="en-US"/>
        </w:rPr>
        <w:t>The "Outreach Volume by Month" chart shows the number of outreach attempts across the calendar year, highlighting that July (7,786), June (6,719), and May (6,045) are peak months, while August (194) and September (721) see the lowest activity. This seasonal pattern is important for planning campaigns, allocating staff and budget, and optimizing timing, as high-volume months may require more resources and low-volume months could indicate breaks or operational gaps. Understanding these trends helps prioritize outreach efforts, assess performance, and identify opportunities to improve efficiency during both peak and slow periods.</w:t>
      </w:r>
    </w:p>
    <w:p w14:paraId="4B66BEA8">
      <w:pPr>
        <w:jc w:val="left"/>
        <w:rPr>
          <w:rFonts w:hint="default"/>
          <w:lang w:val="en-US"/>
        </w:rPr>
      </w:pPr>
    </w:p>
    <w:p w14:paraId="3A8C0552">
      <w:pPr>
        <w:numPr>
          <w:ilvl w:val="1"/>
          <w:numId w:val="8"/>
        </w:numPr>
        <w:rPr>
          <w:rFonts w:hint="default"/>
          <w:b/>
          <w:bCs/>
          <w:color w:val="159594"/>
          <w:sz w:val="22"/>
          <w:szCs w:val="22"/>
          <w:lang w:val="en-US"/>
        </w:rPr>
      </w:pPr>
      <w:r>
        <w:rPr>
          <w:rFonts w:hint="default"/>
          <w:b/>
          <w:bCs/>
          <w:color w:val="159594"/>
          <w:sz w:val="22"/>
          <w:szCs w:val="22"/>
          <w:lang w:val="en-US"/>
        </w:rPr>
        <w:t>Outreach Volume &amp; Timing Trends - by Day of Week</w:t>
      </w:r>
    </w:p>
    <w:p w14:paraId="0CF7CF5C">
      <w:pPr>
        <w:jc w:val="left"/>
        <w:rPr>
          <w:rFonts w:hint="default"/>
          <w:lang w:val="en-US"/>
        </w:rPr>
      </w:pPr>
    </w:p>
    <w:p w14:paraId="01DB55A8">
      <w:pPr>
        <w:jc w:val="center"/>
        <w:rPr>
          <w:rFonts w:hint="default"/>
          <w:lang w:val="en-US"/>
        </w:rPr>
      </w:pPr>
      <w:r>
        <w:drawing>
          <wp:inline distT="0" distB="0" distL="114300" distR="114300">
            <wp:extent cx="3646805" cy="2423795"/>
            <wp:effectExtent l="0" t="0" r="44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3646805" cy="2423795"/>
                    </a:xfrm>
                    <a:prstGeom prst="rect">
                      <a:avLst/>
                    </a:prstGeom>
                    <a:noFill/>
                    <a:ln>
                      <a:noFill/>
                    </a:ln>
                  </pic:spPr>
                </pic:pic>
              </a:graphicData>
            </a:graphic>
          </wp:inline>
        </w:drawing>
      </w:r>
    </w:p>
    <w:p w14:paraId="73AC2806">
      <w:pPr>
        <w:jc w:val="left"/>
        <w:rPr>
          <w:rFonts w:hint="default"/>
          <w:lang w:val="en-US"/>
        </w:rPr>
      </w:pPr>
      <w:r>
        <w:rPr>
          <w:rFonts w:hint="default"/>
          <w:lang w:val="en-US"/>
        </w:rPr>
        <w:t>The "Outreach Volume by Day of Week" chart shows that outreach activity peaks on Monday (8,819 attempts) and remains consistently high through Friday (all above 7,200), while weekend activity drops sharply, with Saturday at 415 and Sunday at zero. This pattern highlights a standard Monday-to-Friday operational schedule, guiding staff allocation, workflow planning, and campaign timing. Understanding daily trends helps optimize contact efficiency, benchmark performance, and identify the best days to focus outreach efforts for maximum engagement.</w:t>
      </w:r>
    </w:p>
    <w:p w14:paraId="420204F6">
      <w:pPr>
        <w:rPr>
          <w:rFonts w:hint="default"/>
          <w:lang w:val="en-US"/>
        </w:rPr>
      </w:pPr>
    </w:p>
    <w:p w14:paraId="27A240A2">
      <w:pPr>
        <w:numPr>
          <w:ilvl w:val="0"/>
          <w:numId w:val="0"/>
        </w:numPr>
        <w:ind w:leftChars="0"/>
        <w:rPr>
          <w:rFonts w:hint="default"/>
          <w:b/>
          <w:bCs/>
          <w:color w:val="159594"/>
          <w:sz w:val="22"/>
          <w:szCs w:val="22"/>
          <w:lang w:val="en-US"/>
        </w:rPr>
      </w:pPr>
      <w:r>
        <w:rPr>
          <w:rFonts w:hint="default"/>
          <w:b/>
          <w:bCs/>
          <w:color w:val="159594"/>
          <w:sz w:val="22"/>
          <w:szCs w:val="22"/>
          <w:lang w:val="en-US"/>
        </w:rPr>
        <w:t>2. Response Rate by Campaign Category</w:t>
      </w:r>
    </w:p>
    <w:p w14:paraId="7E9661E5">
      <w:pPr>
        <w:rPr>
          <w:rFonts w:hint="default"/>
          <w:b/>
          <w:bCs/>
          <w:lang w:val="en-US"/>
        </w:rPr>
      </w:pPr>
    </w:p>
    <w:p w14:paraId="339F5108">
      <w:pPr>
        <w:rPr>
          <w:rFonts w:hint="default"/>
          <w:lang w:val="en-US"/>
        </w:rPr>
      </w:pPr>
      <w:r>
        <w:rPr>
          <w:rFonts w:hint="default"/>
          <w:b/>
          <w:bCs/>
          <w:lang w:val="en-US"/>
        </w:rPr>
        <w:t xml:space="preserve">Insight Goal: </w:t>
      </w:r>
      <w:r>
        <w:rPr>
          <w:rFonts w:hint="default"/>
          <w:lang w:val="en-US"/>
        </w:rPr>
        <w:t>Identifies which campaign categories generate higher engagement and which underperform.</w:t>
      </w:r>
    </w:p>
    <w:p w14:paraId="383330D5">
      <w:pPr>
        <w:jc w:val="center"/>
        <w:rPr>
          <w:rFonts w:hint="default"/>
          <w:lang w:val="en-US"/>
        </w:rPr>
      </w:pPr>
      <w:r>
        <w:drawing>
          <wp:inline distT="0" distB="0" distL="114300" distR="114300">
            <wp:extent cx="2586355" cy="2242820"/>
            <wp:effectExtent l="0" t="0" r="133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586355" cy="2242820"/>
                    </a:xfrm>
                    <a:prstGeom prst="rect">
                      <a:avLst/>
                    </a:prstGeom>
                    <a:noFill/>
                    <a:ln>
                      <a:noFill/>
                    </a:ln>
                  </pic:spPr>
                </pic:pic>
              </a:graphicData>
            </a:graphic>
          </wp:inline>
        </w:drawing>
      </w:r>
    </w:p>
    <w:p w14:paraId="2349AD83">
      <w:pPr>
        <w:rPr>
          <w:rFonts w:hint="default"/>
          <w:lang w:val="en-US"/>
        </w:rPr>
      </w:pPr>
      <w:r>
        <w:rPr>
          <w:rFonts w:hint="default"/>
          <w:lang w:val="en-US"/>
        </w:rPr>
        <w:t>The "Response Rate by Campaign Category" pie chart shows that Post Admission campaigns generate the majority of responses (56.9%), while Pre Admission campaigns contribute 43.1%. This indicates that prospects in the post-admission phase are more engaged, making these campaigns highly effective. Understanding this distribution helps prioritize resources, optimize follow-ups, and identify opportunities to improve engagement in the Pre Admission phase, where even small gains could significantly boost overall response rates.</w:t>
      </w:r>
    </w:p>
    <w:p w14:paraId="7076E30A">
      <w:pPr>
        <w:rPr>
          <w:rFonts w:hint="default"/>
          <w:lang w:val="en-US"/>
        </w:rPr>
      </w:pPr>
    </w:p>
    <w:p w14:paraId="20B4ACF5">
      <w:pPr>
        <w:numPr>
          <w:ilvl w:val="0"/>
          <w:numId w:val="0"/>
        </w:numPr>
        <w:ind w:leftChars="0"/>
        <w:rPr>
          <w:rFonts w:hint="default"/>
          <w:b/>
          <w:bCs/>
          <w:color w:val="159594"/>
          <w:sz w:val="22"/>
          <w:szCs w:val="22"/>
          <w:lang w:val="en-US"/>
        </w:rPr>
      </w:pPr>
      <w:r>
        <w:rPr>
          <w:rFonts w:hint="default"/>
          <w:b/>
          <w:bCs/>
          <w:color w:val="159594"/>
          <w:sz w:val="22"/>
          <w:szCs w:val="22"/>
          <w:lang w:val="en-US"/>
        </w:rPr>
        <w:t>3.Effectiveness of First, Second, and Third Contact Attempts</w:t>
      </w:r>
    </w:p>
    <w:p w14:paraId="65E7B058"/>
    <w:p w14:paraId="6DB8DE15">
      <w:r>
        <w:rPr>
          <w:rFonts w:hint="default"/>
          <w:b/>
          <w:bCs/>
        </w:rPr>
        <w:t>Insight Goal:</w:t>
      </w:r>
      <w:r>
        <w:rPr>
          <w:rFonts w:hint="default"/>
        </w:rPr>
        <w:t xml:space="preserve"> Determine</w:t>
      </w:r>
      <w:r>
        <w:rPr>
          <w:rFonts w:hint="default"/>
          <w:lang w:val="en-US"/>
        </w:rPr>
        <w:t>s</w:t>
      </w:r>
      <w:r>
        <w:rPr>
          <w:rFonts w:hint="default"/>
        </w:rPr>
        <w:t xml:space="preserve"> if 1st, 2nd, or 3rd attempts are more effective, guiding future follow-up strategies.</w:t>
      </w:r>
    </w:p>
    <w:p w14:paraId="2C84AA24">
      <w:pPr>
        <w:jc w:val="center"/>
        <w:rPr>
          <w:rFonts w:hint="default"/>
          <w:lang w:val="en-US"/>
        </w:rPr>
      </w:pPr>
      <w:r>
        <w:drawing>
          <wp:inline distT="0" distB="0" distL="114300" distR="114300">
            <wp:extent cx="4402455" cy="3031490"/>
            <wp:effectExtent l="0" t="0" r="825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4402455" cy="3031490"/>
                    </a:xfrm>
                    <a:prstGeom prst="rect">
                      <a:avLst/>
                    </a:prstGeom>
                    <a:noFill/>
                    <a:ln>
                      <a:noFill/>
                    </a:ln>
                  </pic:spPr>
                </pic:pic>
              </a:graphicData>
            </a:graphic>
          </wp:inline>
        </w:drawing>
      </w:r>
    </w:p>
    <w:p w14:paraId="78AD8B20">
      <w:pPr>
        <w:rPr>
          <w:rFonts w:hint="default"/>
          <w:lang w:val="en-US"/>
        </w:rPr>
      </w:pPr>
      <w:r>
        <w:rPr>
          <w:rFonts w:hint="default"/>
          <w:lang w:val="en-US"/>
        </w:rPr>
        <w:t>The "Effectiveness by Contact Attempt" chart shows that the first contact attempt has very low success (~0.3%), while the second attempt (~2.5%) and select later attempts (e.g., 32nd at 3.0%) are significantly more effective. This highlights the importance of immediate follow-up and strategic persistence, rather than relying solely on initial outreach. When compared to monthly outreach volume, it becomes clear that high activity alone does not guarantee results—success depends on targeting the most effective attempts. These insights help optimize contact strategies, allocate resources efficiently, and guide automated follow-up sequences for maximum engagement.</w:t>
      </w:r>
    </w:p>
    <w:p w14:paraId="5A8E7A72">
      <w:pPr>
        <w:rPr>
          <w:rFonts w:hint="default"/>
          <w:lang w:val="en-US"/>
        </w:rPr>
      </w:pPr>
    </w:p>
    <w:p w14:paraId="64CCF4E1">
      <w:pPr>
        <w:numPr>
          <w:ilvl w:val="0"/>
          <w:numId w:val="9"/>
        </w:numPr>
        <w:rPr>
          <w:rFonts w:hint="default"/>
          <w:b/>
          <w:bCs/>
          <w:color w:val="159594"/>
          <w:sz w:val="22"/>
          <w:szCs w:val="22"/>
          <w:lang w:val="en-US"/>
        </w:rPr>
      </w:pPr>
      <w:r>
        <w:rPr>
          <w:rFonts w:hint="default"/>
          <w:b/>
          <w:bCs/>
          <w:color w:val="159594"/>
          <w:sz w:val="22"/>
          <w:szCs w:val="22"/>
          <w:lang w:val="en-US"/>
        </w:rPr>
        <w:t xml:space="preserve"> Campaign Performance Overview</w:t>
      </w:r>
    </w:p>
    <w:p w14:paraId="363D753F">
      <w:pPr>
        <w:rPr>
          <w:rFonts w:hint="default"/>
          <w:lang w:val="en-US"/>
        </w:rPr>
      </w:pPr>
    </w:p>
    <w:p w14:paraId="1FEBBBE8">
      <w:pPr>
        <w:rPr>
          <w:rFonts w:hint="default"/>
          <w:lang w:val="en-US"/>
        </w:rPr>
      </w:pPr>
      <w:r>
        <w:rPr>
          <w:rFonts w:hint="default"/>
          <w:b/>
          <w:bCs/>
          <w:lang w:val="en-US"/>
        </w:rPr>
        <w:t xml:space="preserve">Insight Goal: </w:t>
      </w:r>
      <w:r>
        <w:rPr>
          <w:rFonts w:hint="default"/>
          <w:lang w:val="en-US"/>
        </w:rPr>
        <w:t>Recognizes which campaigns deliver the best ROI, and which may require redesign.</w:t>
      </w:r>
    </w:p>
    <w:p w14:paraId="1E46B364">
      <w:pPr>
        <w:rPr>
          <w:rFonts w:hint="default"/>
          <w:lang w:val="en-US"/>
        </w:rPr>
      </w:pPr>
    </w:p>
    <w:p w14:paraId="586285CD">
      <w:pPr>
        <w:jc w:val="center"/>
        <w:rPr>
          <w:rFonts w:hint="default"/>
          <w:lang w:val="en-US"/>
        </w:rPr>
      </w:pPr>
      <w:r>
        <w:drawing>
          <wp:inline distT="0" distB="0" distL="114300" distR="114300">
            <wp:extent cx="4105910" cy="2179955"/>
            <wp:effectExtent l="0" t="0" r="1270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4105910" cy="2179955"/>
                    </a:xfrm>
                    <a:prstGeom prst="rect">
                      <a:avLst/>
                    </a:prstGeom>
                    <a:noFill/>
                    <a:ln>
                      <a:noFill/>
                    </a:ln>
                  </pic:spPr>
                </pic:pic>
              </a:graphicData>
            </a:graphic>
          </wp:inline>
        </w:drawing>
      </w:r>
    </w:p>
    <w:p w14:paraId="601A16E6">
      <w:pPr>
        <w:rPr>
          <w:rFonts w:hint="default"/>
          <w:lang w:val="en-US"/>
        </w:rPr>
      </w:pPr>
      <w:r>
        <w:rPr>
          <w:rFonts w:hint="default"/>
          <w:lang w:val="en-US"/>
        </w:rPr>
        <w:t>The “Top 10 Campaigns by Response Rate” chart highlights the effectiveness of the organization’s best-performing campaigns, with AND23 leading at 12% and BPNN D23 at 9%. A clear performance gap exists after the top two, while the lowest five campaigns achieve only 1–3%. Strategically, this chart guides replication of best practices, prioritization of resources toward high-performing campaigns, and realistic target-setting, showing that success depends on campaign execution rather than inherent limitations.</w:t>
      </w:r>
    </w:p>
    <w:p w14:paraId="1FA924B1">
      <w:pPr>
        <w:rPr>
          <w:rFonts w:hint="default"/>
          <w:lang w:val="en-US"/>
        </w:rPr>
      </w:pPr>
    </w:p>
    <w:p w14:paraId="7BAEC7ED">
      <w:pPr>
        <w:numPr>
          <w:ilvl w:val="0"/>
          <w:numId w:val="9"/>
        </w:numPr>
        <w:ind w:left="0" w:leftChars="0" w:firstLine="0" w:firstLineChars="0"/>
        <w:rPr>
          <w:rFonts w:hint="default"/>
          <w:b/>
          <w:bCs/>
          <w:color w:val="159594"/>
          <w:sz w:val="22"/>
          <w:szCs w:val="22"/>
          <w:lang w:val="en-US"/>
        </w:rPr>
      </w:pPr>
      <w:r>
        <w:rPr>
          <w:rFonts w:hint="default"/>
          <w:b/>
          <w:bCs/>
          <w:color w:val="159594"/>
          <w:sz w:val="22"/>
          <w:szCs w:val="22"/>
          <w:lang w:val="en-US"/>
        </w:rPr>
        <w:t>Country/Region Performance (Segment-Level Insight)</w:t>
      </w:r>
    </w:p>
    <w:p w14:paraId="25C16E12">
      <w:pPr>
        <w:rPr>
          <w:rFonts w:hint="default"/>
          <w:lang w:val="en-US"/>
        </w:rPr>
      </w:pPr>
    </w:p>
    <w:p w14:paraId="6E705779">
      <w:pPr>
        <w:rPr>
          <w:rFonts w:hint="default"/>
          <w:lang w:val="en-US"/>
        </w:rPr>
      </w:pPr>
      <w:r>
        <w:rPr>
          <w:rFonts w:hint="default"/>
          <w:b/>
          <w:bCs/>
          <w:lang w:val="en-US"/>
        </w:rPr>
        <w:t>Insight Goal:</w:t>
      </w:r>
      <w:r>
        <w:rPr>
          <w:rFonts w:hint="default"/>
          <w:lang w:val="en-US"/>
        </w:rPr>
        <w:t xml:space="preserve"> helps to understand which geographic segments or universities are more responsive to outreach.</w:t>
      </w:r>
    </w:p>
    <w:p w14:paraId="7D6E9BC9">
      <w:pPr>
        <w:rPr>
          <w:rFonts w:hint="default"/>
          <w:lang w:val="en-US"/>
        </w:rPr>
      </w:pPr>
    </w:p>
    <w:p w14:paraId="56D8F324">
      <w:pPr>
        <w:jc w:val="center"/>
        <w:rPr>
          <w:rFonts w:hint="default"/>
          <w:lang w:val="en-US"/>
        </w:rPr>
      </w:pPr>
      <w:r>
        <w:drawing>
          <wp:inline distT="0" distB="0" distL="114300" distR="114300">
            <wp:extent cx="4183380" cy="2495550"/>
            <wp:effectExtent l="0" t="0" r="825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183380" cy="2495550"/>
                    </a:xfrm>
                    <a:prstGeom prst="rect">
                      <a:avLst/>
                    </a:prstGeom>
                    <a:noFill/>
                    <a:ln>
                      <a:noFill/>
                    </a:ln>
                  </pic:spPr>
                </pic:pic>
              </a:graphicData>
            </a:graphic>
          </wp:inline>
        </w:drawing>
      </w:r>
    </w:p>
    <w:p w14:paraId="7E125E2A">
      <w:pPr>
        <w:rPr>
          <w:rFonts w:hint="default"/>
          <w:lang w:val="en-US"/>
        </w:rPr>
      </w:pPr>
    </w:p>
    <w:p w14:paraId="016ED497">
      <w:pPr>
        <w:rPr>
          <w:rFonts w:hint="default"/>
          <w:lang w:val="en-US"/>
        </w:rPr>
      </w:pPr>
      <w:r>
        <w:rPr>
          <w:rFonts w:hint="default"/>
          <w:lang w:val="en-US"/>
        </w:rPr>
        <w:t>The “Top 10 Countries by Response Rate” chart shows a clear geographical disparity in outreach effectiveness. Canada (6.7%) and South Africa (6.6%) lead, while most other countries, including Pakistan (1.5%), lag significantly. This insight guides prioritization of high-performing regions, informs localization strategies, improves resource allocation, and highlights the need to address data quality issues such as the “Unknown” country segment.</w:t>
      </w:r>
    </w:p>
    <w:p w14:paraId="6C99ED9D">
      <w:pPr>
        <w:rPr>
          <w:rFonts w:hint="default"/>
          <w:lang w:val="en-US"/>
        </w:rPr>
      </w:pPr>
    </w:p>
    <w:p w14:paraId="39397313">
      <w:pPr>
        <w:jc w:val="center"/>
        <w:rPr>
          <w:sz w:val="20"/>
        </w:rPr>
      </w:pPr>
      <w:r>
        <w:rPr>
          <w:sz w:val="20"/>
        </w:rPr>
        <w:drawing>
          <wp:inline distT="0" distB="0" distL="0" distR="0">
            <wp:extent cx="4857115" cy="2246630"/>
            <wp:effectExtent l="0" t="0" r="6350" b="254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8" cstate="print"/>
                    <a:stretch>
                      <a:fillRect/>
                    </a:stretch>
                  </pic:blipFill>
                  <pic:spPr>
                    <a:xfrm>
                      <a:off x="0" y="0"/>
                      <a:ext cx="4857115" cy="2246630"/>
                    </a:xfrm>
                    <a:prstGeom prst="rect">
                      <a:avLst/>
                    </a:prstGeom>
                  </pic:spPr>
                </pic:pic>
              </a:graphicData>
            </a:graphic>
          </wp:inline>
        </w:drawing>
      </w:r>
    </w:p>
    <w:p w14:paraId="41962950">
      <w:pPr>
        <w:rPr>
          <w:rFonts w:hint="default"/>
          <w:lang w:val="en-US"/>
        </w:rPr>
      </w:pPr>
      <w:r>
        <w:rPr>
          <w:rFonts w:hint="default"/>
          <w:lang w:val="en-US"/>
        </w:rPr>
        <w:t>The bar chart "Top 15 Countries by Number of Applicants" highlights the leading applicant sources. India dominates with 13,520 applicants, followed by a large “Unknown” group (8,574), indicating missing data. Other key contributors include Ghana, Nigeria, and Pakistan, while China ranks lowest among the top 15. The results show a strong concentration from South Asia and Africa, emphasizing regional engagement. The high “Unknown” count signals a need for data quality improvement. Overall, these insights support targeted outreach, recruitment focus, and better data management.</w:t>
      </w:r>
    </w:p>
    <w:p w14:paraId="408C0467">
      <w:pPr>
        <w:rPr>
          <w:rFonts w:hint="default"/>
          <w:lang w:val="en-US"/>
        </w:rPr>
      </w:pPr>
    </w:p>
    <w:p w14:paraId="047481F4">
      <w:pPr>
        <w:numPr>
          <w:ilvl w:val="0"/>
          <w:numId w:val="9"/>
        </w:numPr>
        <w:ind w:left="0" w:leftChars="0" w:firstLine="0" w:firstLineChars="0"/>
        <w:rPr>
          <w:rFonts w:hint="default"/>
          <w:b/>
          <w:bCs/>
          <w:color w:val="159594"/>
          <w:sz w:val="22"/>
          <w:szCs w:val="22"/>
          <w:lang w:val="en-US"/>
        </w:rPr>
      </w:pPr>
      <w:r>
        <w:rPr>
          <w:rFonts w:hint="default"/>
          <w:b/>
          <w:bCs/>
          <w:color w:val="159594"/>
          <w:sz w:val="22"/>
          <w:szCs w:val="22"/>
          <w:lang w:val="en-US"/>
        </w:rPr>
        <w:t>Timing-Based Performance Shifts</w:t>
      </w:r>
    </w:p>
    <w:p w14:paraId="4BF6AC2D">
      <w:pPr>
        <w:rPr>
          <w:rFonts w:hint="default"/>
          <w:lang w:val="en-US"/>
        </w:rPr>
      </w:pPr>
    </w:p>
    <w:p w14:paraId="724A2709">
      <w:pPr>
        <w:rPr>
          <w:rFonts w:hint="default"/>
          <w:lang w:val="en-US"/>
        </w:rPr>
      </w:pPr>
      <w:r>
        <w:rPr>
          <w:rFonts w:hint="default"/>
          <w:b/>
          <w:bCs/>
          <w:lang w:val="en-US"/>
        </w:rPr>
        <w:t>Insight Goal:</w:t>
      </w:r>
      <w:r>
        <w:rPr>
          <w:rFonts w:hint="default"/>
          <w:lang w:val="en-US"/>
        </w:rPr>
        <w:t xml:space="preserve"> Discovers which hours yield highest engagement, optimizing call or message timing.</w:t>
      </w:r>
    </w:p>
    <w:p w14:paraId="5485A5B8">
      <w:pPr>
        <w:rPr>
          <w:rFonts w:hint="default"/>
          <w:lang w:val="en-US"/>
        </w:rPr>
      </w:pPr>
    </w:p>
    <w:p w14:paraId="55DD076D">
      <w:pPr>
        <w:jc w:val="center"/>
      </w:pPr>
      <w:r>
        <w:drawing>
          <wp:inline distT="0" distB="0" distL="114300" distR="114300">
            <wp:extent cx="5233670" cy="259334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233670" cy="2593340"/>
                    </a:xfrm>
                    <a:prstGeom prst="rect">
                      <a:avLst/>
                    </a:prstGeom>
                    <a:noFill/>
                    <a:ln>
                      <a:noFill/>
                    </a:ln>
                  </pic:spPr>
                </pic:pic>
              </a:graphicData>
            </a:graphic>
          </wp:inline>
        </w:drawing>
      </w:r>
    </w:p>
    <w:p w14:paraId="0D180D53">
      <w:pPr>
        <w:jc w:val="center"/>
      </w:pPr>
    </w:p>
    <w:p w14:paraId="0558F895">
      <w:pPr>
        <w:rPr>
          <w:rFonts w:hint="default"/>
          <w:lang w:val="en-US"/>
        </w:rPr>
      </w:pPr>
      <w:r>
        <w:rPr>
          <w:rFonts w:hint="default"/>
          <w:lang w:val="en-US"/>
        </w:rPr>
        <w:t>The “Response Rate by Hour of Day” chart reveals that outreach effectiveness peaks at 8 PM (3.5%), despite lower overall volume during that hour. Early hours (before 10 AM) show negligible responses, while mid-day response rates remain modest (0.8–1.8%). This insight highlights the importance of scheduling critical outreach later in the evening to maximize engagement, optimize ROI, and better align with audience availability, rather than merely focusing on high-volume hours.</w:t>
      </w:r>
    </w:p>
    <w:p w14:paraId="06568B76">
      <w:pPr>
        <w:rPr>
          <w:rFonts w:hint="default"/>
          <w:lang w:val="en-US"/>
        </w:rPr>
      </w:pPr>
    </w:p>
    <w:p w14:paraId="4FB859D3">
      <w:pPr>
        <w:rPr>
          <w:rFonts w:hint="default"/>
          <w:lang w:val="en-US"/>
        </w:rPr>
      </w:pPr>
    </w:p>
    <w:p w14:paraId="6EE67241">
      <w:pPr>
        <w:rPr>
          <w:rFonts w:hint="default"/>
          <w:lang w:val="en-US"/>
        </w:rPr>
      </w:pPr>
      <w:r>
        <w:rPr>
          <w:rFonts w:hint="default"/>
          <w:b/>
          <w:bCs/>
          <w:color w:val="159594"/>
          <w:sz w:val="22"/>
          <w:szCs w:val="22"/>
          <w:lang w:val="en-US"/>
        </w:rPr>
        <w:t>7. Conversion Analysis (if Status indicates success)</w:t>
      </w:r>
    </w:p>
    <w:p w14:paraId="67920546">
      <w:pPr>
        <w:rPr>
          <w:rFonts w:hint="default"/>
          <w:lang w:val="en-US"/>
        </w:rPr>
      </w:pPr>
    </w:p>
    <w:p w14:paraId="46454389">
      <w:pPr>
        <w:rPr>
          <w:rFonts w:hint="default"/>
          <w:b w:val="0"/>
          <w:bCs w:val="0"/>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Insight Goal:</w:t>
      </w:r>
      <w:r>
        <w:rPr>
          <w:rFonts w:hint="default"/>
          <w:b w:val="0"/>
          <w:bCs w:val="0"/>
          <w:color w:val="000000" w:themeColor="text1"/>
          <w:sz w:val="20"/>
          <w:szCs w:val="20"/>
          <w:lang w:val="en-US"/>
          <w14:textFill>
            <w14:solidFill>
              <w14:schemeClr w14:val="tx1"/>
            </w14:solidFill>
          </w14:textFill>
        </w:rPr>
        <w:t xml:space="preserve"> Can be seen which outreach categories directly lead to successful conversions.</w:t>
      </w:r>
    </w:p>
    <w:p w14:paraId="357E302B">
      <w:pPr>
        <w:rPr>
          <w:rFonts w:hint="default"/>
          <w:b w:val="0"/>
          <w:bCs w:val="0"/>
          <w:color w:val="000000" w:themeColor="text1"/>
          <w:sz w:val="20"/>
          <w:szCs w:val="20"/>
          <w:lang w:val="en-US"/>
          <w14:textFill>
            <w14:solidFill>
              <w14:schemeClr w14:val="tx1"/>
            </w14:solidFill>
          </w14:textFill>
        </w:rPr>
      </w:pPr>
    </w:p>
    <w:p w14:paraId="11CD659F">
      <w:pPr>
        <w:jc w:val="center"/>
        <w:rPr>
          <w:rFonts w:hint="default"/>
          <w:b w:val="0"/>
          <w:bCs w:val="0"/>
          <w:color w:val="000000" w:themeColor="text1"/>
          <w:sz w:val="20"/>
          <w:szCs w:val="20"/>
          <w:lang w:val="en-US"/>
          <w14:textFill>
            <w14:solidFill>
              <w14:schemeClr w14:val="tx1"/>
            </w14:solidFill>
          </w14:textFill>
        </w:rPr>
      </w:pPr>
      <w:r>
        <w:drawing>
          <wp:inline distT="0" distB="0" distL="114300" distR="114300">
            <wp:extent cx="3226435" cy="2755900"/>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3226435" cy="2755900"/>
                    </a:xfrm>
                    <a:prstGeom prst="rect">
                      <a:avLst/>
                    </a:prstGeom>
                    <a:noFill/>
                    <a:ln>
                      <a:noFill/>
                    </a:ln>
                  </pic:spPr>
                </pic:pic>
              </a:graphicData>
            </a:graphic>
          </wp:inline>
        </w:drawing>
      </w:r>
    </w:p>
    <w:p w14:paraId="1E5F157C">
      <w:pPr>
        <w:rPr>
          <w:rFonts w:hint="default"/>
          <w:b w:val="0"/>
          <w:bCs w:val="0"/>
          <w:color w:val="000000" w:themeColor="text1"/>
          <w:sz w:val="20"/>
          <w:szCs w:val="20"/>
          <w:lang w:val="en-US"/>
          <w14:textFill>
            <w14:solidFill>
              <w14:schemeClr w14:val="tx1"/>
            </w14:solidFill>
          </w14:textFill>
        </w:rPr>
      </w:pPr>
    </w:p>
    <w:p w14:paraId="5ECEE330">
      <w:pPr>
        <w:rPr>
          <w:rFonts w:hint="default"/>
          <w:b w:val="0"/>
          <w:bCs w:val="0"/>
          <w:i w:val="0"/>
          <w:iCs w:val="0"/>
          <w:color w:val="000000" w:themeColor="text1"/>
          <w:sz w:val="20"/>
          <w:szCs w:val="20"/>
          <w:lang w:val="en-US"/>
          <w14:textFill>
            <w14:solidFill>
              <w14:schemeClr w14:val="tx1"/>
            </w14:solidFill>
          </w14:textFill>
        </w:rPr>
      </w:pPr>
      <w:r>
        <w:rPr>
          <w:rFonts w:hint="default"/>
          <w:b w:val="0"/>
          <w:bCs w:val="0"/>
          <w:i w:val="0"/>
          <w:iCs w:val="0"/>
          <w:color w:val="000000" w:themeColor="text1"/>
          <w:sz w:val="20"/>
          <w:szCs w:val="20"/>
          <w:lang w:val="en-US"/>
          <w14:textFill>
            <w14:solidFill>
              <w14:schemeClr w14:val="tx1"/>
            </w14:solidFill>
          </w14:textFill>
        </w:rPr>
        <w:t>The “Conversion Rate by Campaign Category” pie chart shows an equal split in conversions between Pre Admission and Post Admission campaigns, each contributing 50% of total conversions. This balance highlights the importance of allocating resources evenly across both phases, ensuring that early-stage outreach and post-admission efforts are equally prioritized to maximize overall conversion and prevent applicant drop-off.</w:t>
      </w:r>
    </w:p>
    <w:p w14:paraId="40AF08BC">
      <w:pPr>
        <w:rPr>
          <w:rFonts w:hint="default"/>
          <w:b/>
          <w:bCs/>
          <w:i/>
          <w:iCs/>
          <w:color w:val="AFABAB" w:themeColor="background2" w:themeShade="BF"/>
          <w:sz w:val="21"/>
          <w:szCs w:val="21"/>
          <w:lang w:val="en-US"/>
        </w:rPr>
      </w:pPr>
    </w:p>
    <w:p w14:paraId="55367E48">
      <w:pPr>
        <w:rPr>
          <w:rFonts w:hint="default"/>
          <w:b/>
          <w:bCs/>
          <w:i/>
          <w:iCs/>
          <w:color w:val="AFABAB" w:themeColor="background2" w:themeShade="BF"/>
          <w:sz w:val="21"/>
          <w:szCs w:val="21"/>
          <w:lang w:val="en-US"/>
        </w:rPr>
      </w:pPr>
    </w:p>
    <w:p w14:paraId="560DA4CE">
      <w:pPr>
        <w:rPr>
          <w:rFonts w:hint="default"/>
          <w:b/>
          <w:bCs/>
          <w:i/>
          <w:iCs/>
          <w:color w:val="AFABAB" w:themeColor="background2" w:themeShade="BF"/>
          <w:sz w:val="21"/>
          <w:szCs w:val="21"/>
          <w:lang w:val="en-US"/>
        </w:rPr>
      </w:pPr>
    </w:p>
    <w:p w14:paraId="1FCB7598">
      <w:pPr>
        <w:rPr>
          <w:rFonts w:hint="default"/>
          <w:b/>
          <w:bCs/>
          <w:i/>
          <w:iCs/>
          <w:color w:val="AFABAB" w:themeColor="background2" w:themeShade="BF"/>
          <w:sz w:val="21"/>
          <w:szCs w:val="21"/>
          <w:lang w:val="en-US"/>
        </w:rPr>
      </w:pPr>
    </w:p>
    <w:p w14:paraId="1CD7ADB9">
      <w:pPr>
        <w:numPr>
          <w:ilvl w:val="0"/>
          <w:numId w:val="0"/>
        </w:numPr>
        <w:ind w:leftChars="0"/>
        <w:rPr>
          <w:rFonts w:hint="default"/>
          <w:b/>
          <w:bCs/>
          <w:color w:val="159594"/>
          <w:sz w:val="22"/>
          <w:szCs w:val="22"/>
          <w:lang w:val="en-US"/>
        </w:rPr>
      </w:pPr>
      <w:r>
        <w:rPr>
          <w:rFonts w:hint="default"/>
          <w:b/>
          <w:bCs/>
          <w:color w:val="159594"/>
          <w:sz w:val="22"/>
          <w:szCs w:val="22"/>
          <w:lang w:val="en-US"/>
        </w:rPr>
        <w:t>8. Phone Number / Contact Analysis</w:t>
      </w:r>
    </w:p>
    <w:p w14:paraId="52CAE019">
      <w:pPr>
        <w:rPr>
          <w:rFonts w:hint="default"/>
          <w:b w:val="0"/>
          <w:bCs w:val="0"/>
          <w:color w:val="000000" w:themeColor="text1"/>
          <w:sz w:val="20"/>
          <w:szCs w:val="20"/>
          <w:lang w:val="en-US"/>
          <w14:textFill>
            <w14:solidFill>
              <w14:schemeClr w14:val="tx1"/>
            </w14:solidFill>
          </w14:textFill>
        </w:rPr>
      </w:pPr>
    </w:p>
    <w:p w14:paraId="461EBB57">
      <w:pPr>
        <w:rPr>
          <w:rFonts w:hint="default"/>
          <w:b w:val="0"/>
          <w:bCs w:val="0"/>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 xml:space="preserve">Insights: </w:t>
      </w:r>
      <w:r>
        <w:rPr>
          <w:rFonts w:hint="default"/>
          <w:b w:val="0"/>
          <w:bCs w:val="0"/>
          <w:color w:val="000000" w:themeColor="text1"/>
          <w:sz w:val="20"/>
          <w:szCs w:val="20"/>
          <w:lang w:val="en-US"/>
          <w14:textFill>
            <w14:solidFill>
              <w14:schemeClr w14:val="tx1"/>
            </w14:solidFill>
          </w14:textFill>
        </w:rPr>
        <w:t>Shows proportion of contacts missing phone numbers. Highlights whether missing numbers impact response rates.</w:t>
      </w:r>
    </w:p>
    <w:p w14:paraId="53D8C37B">
      <w:pPr>
        <w:jc w:val="center"/>
        <w:rPr>
          <w:rFonts w:hint="default"/>
          <w:b w:val="0"/>
          <w:bCs w:val="0"/>
          <w:color w:val="000000" w:themeColor="text1"/>
          <w:sz w:val="20"/>
          <w:szCs w:val="20"/>
          <w:lang w:val="en-US"/>
          <w14:textFill>
            <w14:solidFill>
              <w14:schemeClr w14:val="tx1"/>
            </w14:solidFill>
          </w14:textFill>
        </w:rPr>
      </w:pPr>
      <w:r>
        <w:drawing>
          <wp:inline distT="0" distB="0" distL="114300" distR="114300">
            <wp:extent cx="2272665" cy="2386330"/>
            <wp:effectExtent l="0" t="0" r="571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2272665" cy="2386330"/>
                    </a:xfrm>
                    <a:prstGeom prst="rect">
                      <a:avLst/>
                    </a:prstGeom>
                    <a:noFill/>
                    <a:ln>
                      <a:noFill/>
                    </a:ln>
                  </pic:spPr>
                </pic:pic>
              </a:graphicData>
            </a:graphic>
          </wp:inline>
        </w:drawing>
      </w:r>
    </w:p>
    <w:p w14:paraId="197653D8">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The “Phone Number Availability” pie chart shows that 99.3% of records have a phone number available, with only 0.7% missing. This near-complete coverage confirms high data quality, enabling reliable phone-based outreach and ensuring that analyses of response or conversion rates via phone are accurate. Minimal effort is needed for further data cleaning, allowing focus on other less-complete contact channels.</w:t>
      </w:r>
    </w:p>
    <w:p w14:paraId="15BE74C3">
      <w:pPr>
        <w:rPr>
          <w:rFonts w:hint="default"/>
          <w:b w:val="0"/>
          <w:bCs w:val="0"/>
          <w:color w:val="000000" w:themeColor="text1"/>
          <w:sz w:val="20"/>
          <w:szCs w:val="20"/>
          <w:lang w:val="en-US"/>
          <w14:textFill>
            <w14:solidFill>
              <w14:schemeClr w14:val="tx1"/>
            </w14:solidFill>
          </w14:textFill>
        </w:rPr>
      </w:pPr>
    </w:p>
    <w:p w14:paraId="54EE5597">
      <w:pPr>
        <w:jc w:val="center"/>
        <w:rPr>
          <w:sz w:val="20"/>
        </w:rPr>
      </w:pPr>
      <w:r>
        <w:rPr>
          <w:sz w:val="20"/>
        </w:rPr>
        <w:drawing>
          <wp:inline distT="0" distB="0" distL="0" distR="0">
            <wp:extent cx="4817745" cy="2537460"/>
            <wp:effectExtent l="0" t="0" r="1905" b="381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2" cstate="print"/>
                    <a:stretch>
                      <a:fillRect/>
                    </a:stretch>
                  </pic:blipFill>
                  <pic:spPr>
                    <a:xfrm>
                      <a:off x="0" y="0"/>
                      <a:ext cx="4817745" cy="2537460"/>
                    </a:xfrm>
                    <a:prstGeom prst="rect">
                      <a:avLst/>
                    </a:prstGeom>
                  </pic:spPr>
                </pic:pic>
              </a:graphicData>
            </a:graphic>
          </wp:inline>
        </w:drawing>
      </w:r>
    </w:p>
    <w:p w14:paraId="75FDEFDB">
      <w:pPr>
        <w:jc w:val="left"/>
        <w:rPr>
          <w:sz w:val="20"/>
        </w:rPr>
      </w:pPr>
    </w:p>
    <w:p w14:paraId="253873E4">
      <w:pPr>
        <w:jc w:val="left"/>
        <w:rPr>
          <w:sz w:val="20"/>
        </w:rPr>
      </w:pPr>
      <w:r>
        <w:rPr>
          <w:sz w:val="20"/>
        </w:rPr>
        <w:t>The histogram displays the distribution of phone number lengths within the database, showing a dominant 12-digit format with over 27,000 entries, followed by 13 digits (~6,500) and 11 digits (~3,500). Very short or long numbers are rare, suggesting strong data consistency. The dominance of 12 and 13 digits implies that most phone numbers are stored in international format (including country codes). This pattern defines the organization’s standard structure for contact data, aiding in data validation, telephony configuration, and error detection for future data imports.</w:t>
      </w:r>
    </w:p>
    <w:p w14:paraId="5FA8A4A9">
      <w:pPr>
        <w:jc w:val="left"/>
        <w:rPr>
          <w:sz w:val="20"/>
        </w:rPr>
      </w:pPr>
    </w:p>
    <w:p w14:paraId="7CB9F48E">
      <w:pPr>
        <w:jc w:val="left"/>
        <w:rPr>
          <w:sz w:val="20"/>
        </w:rPr>
      </w:pPr>
    </w:p>
    <w:p w14:paraId="07C6957A">
      <w:pPr>
        <w:jc w:val="left"/>
        <w:rPr>
          <w:sz w:val="20"/>
        </w:rPr>
      </w:pPr>
    </w:p>
    <w:p w14:paraId="09975777">
      <w:pPr>
        <w:jc w:val="left"/>
        <w:rPr>
          <w:sz w:val="20"/>
        </w:rPr>
      </w:pPr>
    </w:p>
    <w:p w14:paraId="1283BAF2">
      <w:pPr>
        <w:jc w:val="left"/>
        <w:rPr>
          <w:sz w:val="20"/>
        </w:rPr>
      </w:pPr>
    </w:p>
    <w:p w14:paraId="5C0A4F8C">
      <w:pPr>
        <w:jc w:val="left"/>
        <w:rPr>
          <w:sz w:val="20"/>
        </w:rPr>
      </w:pPr>
    </w:p>
    <w:p w14:paraId="1D834726">
      <w:pPr>
        <w:jc w:val="left"/>
        <w:rPr>
          <w:sz w:val="20"/>
        </w:rPr>
      </w:pPr>
    </w:p>
    <w:p w14:paraId="4A99F8EA">
      <w:pPr>
        <w:jc w:val="left"/>
        <w:rPr>
          <w:rFonts w:hint="default"/>
          <w:sz w:val="20"/>
          <w:lang w:val="en-US"/>
        </w:rPr>
      </w:pPr>
    </w:p>
    <w:p w14:paraId="4FCF0B79">
      <w:pPr>
        <w:rPr>
          <w:rFonts w:hint="default"/>
          <w:b/>
          <w:bCs/>
          <w:color w:val="159594"/>
          <w:sz w:val="22"/>
          <w:szCs w:val="22"/>
          <w:lang w:val="en-US"/>
        </w:rPr>
      </w:pPr>
      <w:r>
        <w:rPr>
          <w:rFonts w:hint="default"/>
          <w:b/>
          <w:bCs/>
          <w:color w:val="159594"/>
          <w:sz w:val="22"/>
          <w:szCs w:val="22"/>
          <w:lang w:val="en-US"/>
        </w:rPr>
        <w:t>9. Outlier Detection – Phone Number Lengths</w:t>
      </w:r>
    </w:p>
    <w:p w14:paraId="2E55EE5B">
      <w:pPr>
        <w:rPr>
          <w:rFonts w:hint="default"/>
          <w:b w:val="0"/>
          <w:bCs w:val="0"/>
          <w:color w:val="000000" w:themeColor="text1"/>
          <w:sz w:val="20"/>
          <w:szCs w:val="20"/>
          <w:lang w:val="en-US"/>
          <w14:textFill>
            <w14:solidFill>
              <w14:schemeClr w14:val="tx1"/>
            </w14:solidFill>
          </w14:textFill>
        </w:rPr>
      </w:pPr>
    </w:p>
    <w:p w14:paraId="01A79A79">
      <w:pPr>
        <w:rPr>
          <w:rFonts w:hint="default"/>
          <w:b w:val="0"/>
          <w:bCs w:val="0"/>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Insights:</w:t>
      </w:r>
      <w:r>
        <w:rPr>
          <w:rFonts w:hint="default"/>
          <w:b w:val="0"/>
          <w:bCs w:val="0"/>
          <w:color w:val="000000" w:themeColor="text1"/>
          <w:sz w:val="20"/>
          <w:szCs w:val="20"/>
          <w:lang w:val="en-US"/>
          <w14:textFill>
            <w14:solidFill>
              <w14:schemeClr w14:val="tx1"/>
            </w14:solidFill>
          </w14:textFill>
        </w:rPr>
        <w:t xml:space="preserve"> Identifies whether phone numbers with irregular lengths deviate from the standard 12-digit format, helping detect data entry errors and maintain consistency in contact records.</w:t>
      </w:r>
    </w:p>
    <w:p w14:paraId="3AB96363">
      <w:pPr>
        <w:jc w:val="center"/>
      </w:pPr>
      <w:r>
        <w:rPr>
          <w:sz w:val="20"/>
        </w:rPr>
        <w:drawing>
          <wp:inline distT="0" distB="0" distL="0" distR="0">
            <wp:extent cx="4178300" cy="1988820"/>
            <wp:effectExtent l="0" t="0" r="13335" b="12065"/>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3" cstate="print"/>
                    <a:stretch>
                      <a:fillRect/>
                    </a:stretch>
                  </pic:blipFill>
                  <pic:spPr>
                    <a:xfrm>
                      <a:off x="0" y="0"/>
                      <a:ext cx="4178300" cy="1988820"/>
                    </a:xfrm>
                    <a:prstGeom prst="rect">
                      <a:avLst/>
                    </a:prstGeom>
                  </pic:spPr>
                </pic:pic>
              </a:graphicData>
            </a:graphic>
          </wp:inline>
        </w:drawing>
      </w:r>
    </w:p>
    <w:p w14:paraId="2CF6F0D6">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The box plot identifies outliers in phone number lengths, highlighting deviations from the standard format. Most entries cluster tightly around 12 digits, confirming it as the dominant and expected phone number length. All other lengths (e.g., 2, 5–11, 13–15 digits) are flagged as statistical outliers. While some variations like 11 or 13 digits may represent valid international formats, shorter or irregular lengths likely indicate incomplete or erroneous entries. This chart is essential for data cleaning and validation, ensuring that only structurally consistent phone numbers remain in the dataset, thereby maintaining high data integrity for outreach operations.</w:t>
      </w:r>
    </w:p>
    <w:p w14:paraId="16A7FD73">
      <w:pPr>
        <w:rPr>
          <w:rFonts w:hint="default"/>
          <w:b w:val="0"/>
          <w:bCs w:val="0"/>
          <w:color w:val="000000" w:themeColor="text1"/>
          <w:sz w:val="20"/>
          <w:szCs w:val="20"/>
          <w:lang w:val="en-US"/>
          <w14:textFill>
            <w14:solidFill>
              <w14:schemeClr w14:val="tx1"/>
            </w14:solidFill>
          </w14:textFill>
        </w:rPr>
      </w:pPr>
    </w:p>
    <w:p w14:paraId="337E45DC">
      <w:pPr>
        <w:rPr>
          <w:rFonts w:hint="default"/>
          <w:b/>
          <w:bCs/>
          <w:color w:val="159594"/>
          <w:sz w:val="22"/>
          <w:szCs w:val="22"/>
          <w:lang w:val="en-US"/>
        </w:rPr>
      </w:pPr>
      <w:r>
        <w:rPr>
          <w:rFonts w:hint="default"/>
          <w:b/>
          <w:bCs/>
          <w:color w:val="159594"/>
          <w:sz w:val="22"/>
          <w:szCs w:val="22"/>
          <w:lang w:val="en-US"/>
        </w:rPr>
        <w:t>10. Segmentation by Intake / University Tier</w:t>
      </w:r>
    </w:p>
    <w:p w14:paraId="080BDD80">
      <w:pPr>
        <w:rPr>
          <w:rFonts w:hint="default"/>
          <w:b w:val="0"/>
          <w:bCs w:val="0"/>
          <w:color w:val="000000" w:themeColor="text1"/>
          <w:sz w:val="20"/>
          <w:szCs w:val="20"/>
          <w:lang w:val="en-US"/>
          <w14:textFill>
            <w14:solidFill>
              <w14:schemeClr w14:val="tx1"/>
            </w14:solidFill>
          </w14:textFill>
        </w:rPr>
      </w:pPr>
    </w:p>
    <w:p w14:paraId="6E6F32C7">
      <w:pPr>
        <w:rPr>
          <w:rFonts w:hint="default"/>
          <w:b w:val="0"/>
          <w:bCs w:val="0"/>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 xml:space="preserve">Insights: </w:t>
      </w:r>
      <w:r>
        <w:rPr>
          <w:rFonts w:hint="default"/>
          <w:b w:val="0"/>
          <w:bCs w:val="0"/>
          <w:color w:val="000000" w:themeColor="text1"/>
          <w:sz w:val="20"/>
          <w:szCs w:val="20"/>
          <w:lang w:val="en-US"/>
          <w14:textFill>
            <w14:solidFill>
              <w14:schemeClr w14:val="tx1"/>
            </w14:solidFill>
          </w14:textFill>
        </w:rPr>
        <w:t>Shows which tier of universities is more responsive, useful for prioritization.</w:t>
      </w:r>
    </w:p>
    <w:p w14:paraId="7D09613A">
      <w:pPr>
        <w:rPr>
          <w:rFonts w:hint="default"/>
          <w:b w:val="0"/>
          <w:bCs w:val="0"/>
          <w:color w:val="000000" w:themeColor="text1"/>
          <w:sz w:val="20"/>
          <w:szCs w:val="20"/>
          <w:lang w:val="en-US"/>
          <w14:textFill>
            <w14:solidFill>
              <w14:schemeClr w14:val="tx1"/>
            </w14:solidFill>
          </w14:textFill>
        </w:rPr>
      </w:pPr>
    </w:p>
    <w:p w14:paraId="44E345A0">
      <w:pPr>
        <w:jc w:val="center"/>
      </w:pPr>
      <w:r>
        <w:drawing>
          <wp:inline distT="0" distB="0" distL="114300" distR="114300">
            <wp:extent cx="2895600" cy="2303145"/>
            <wp:effectExtent l="0" t="0" r="1079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2895600" cy="2303145"/>
                    </a:xfrm>
                    <a:prstGeom prst="rect">
                      <a:avLst/>
                    </a:prstGeom>
                    <a:noFill/>
                    <a:ln>
                      <a:noFill/>
                    </a:ln>
                  </pic:spPr>
                </pic:pic>
              </a:graphicData>
            </a:graphic>
          </wp:inline>
        </w:drawing>
      </w:r>
    </w:p>
    <w:p w14:paraId="53CD1803">
      <w:pPr>
        <w:jc w:val="left"/>
        <w:rPr>
          <w:rFonts w:hint="default"/>
          <w:lang w:val="en-US"/>
        </w:rPr>
      </w:pPr>
      <w:r>
        <w:rPr>
          <w:rFonts w:hint="default"/>
          <w:lang w:val="en-US"/>
        </w:rPr>
        <w:t>The chart “Response Rate by University Tier (Illinois Institute of Technology)” shows that outreach to the Tier 1 university category, specifically the Illinois Institute of Technology, achieved a 1.3% response rate. This is the only university record available in the dataset, so no comparisons with other universities or tiers can be made. Despite the lack of comparative data, this serves as a baseline for measuring future outreach efforts to this segment and calculating ROI. It also highlights the need for additional data to assess performance across other university tiers and guide resource allocation.</w:t>
      </w:r>
    </w:p>
    <w:p w14:paraId="6B7BDDA6">
      <w:pPr>
        <w:jc w:val="left"/>
        <w:rPr>
          <w:rFonts w:hint="default"/>
          <w:lang w:val="en-US"/>
        </w:rPr>
      </w:pPr>
    </w:p>
    <w:p w14:paraId="41C57591">
      <w:pPr>
        <w:jc w:val="left"/>
        <w:rPr>
          <w:rFonts w:hint="default"/>
          <w:lang w:val="en-US"/>
        </w:rPr>
      </w:pPr>
    </w:p>
    <w:p w14:paraId="3FD3C71F">
      <w:pPr>
        <w:jc w:val="left"/>
        <w:rPr>
          <w:rFonts w:hint="default"/>
          <w:lang w:val="en-US"/>
        </w:rPr>
      </w:pPr>
    </w:p>
    <w:p w14:paraId="7A71C7BF">
      <w:pPr>
        <w:jc w:val="left"/>
        <w:rPr>
          <w:rFonts w:hint="default"/>
          <w:lang w:val="en-US"/>
        </w:rPr>
      </w:pPr>
    </w:p>
    <w:p w14:paraId="14EA7C3E">
      <w:pPr>
        <w:jc w:val="left"/>
        <w:rPr>
          <w:rFonts w:hint="default"/>
          <w:lang w:val="en-US"/>
        </w:rPr>
      </w:pPr>
    </w:p>
    <w:p w14:paraId="34B072DA">
      <w:pPr>
        <w:jc w:val="left"/>
        <w:rPr>
          <w:rFonts w:hint="default"/>
          <w:lang w:val="en-US"/>
        </w:rPr>
      </w:pPr>
    </w:p>
    <w:p w14:paraId="6CB98265">
      <w:pPr>
        <w:jc w:val="left"/>
        <w:rPr>
          <w:rFonts w:hint="default"/>
          <w:lang w:val="en-US"/>
        </w:rPr>
      </w:pPr>
    </w:p>
    <w:p w14:paraId="54C533C9">
      <w:pPr>
        <w:numPr>
          <w:ilvl w:val="0"/>
          <w:numId w:val="0"/>
        </w:numPr>
        <w:jc w:val="left"/>
        <w:rPr>
          <w:rFonts w:hint="default"/>
          <w:b/>
          <w:bCs/>
          <w:color w:val="159594"/>
          <w:sz w:val="22"/>
          <w:szCs w:val="22"/>
          <w:lang w:val="en-US"/>
        </w:rPr>
      </w:pPr>
      <w:r>
        <w:rPr>
          <w:rFonts w:hint="default"/>
          <w:b/>
          <w:bCs/>
          <w:color w:val="159594"/>
          <w:sz w:val="22"/>
          <w:szCs w:val="22"/>
          <w:lang w:val="en-US"/>
        </w:rPr>
        <w:t>11. Campaign Category vs Attempt Effectiveness</w:t>
      </w:r>
    </w:p>
    <w:p w14:paraId="1723DE67">
      <w:pPr>
        <w:rPr>
          <w:rFonts w:hint="default"/>
          <w:b w:val="0"/>
          <w:bCs w:val="0"/>
          <w:color w:val="000000" w:themeColor="text1"/>
          <w:sz w:val="20"/>
          <w:szCs w:val="20"/>
          <w:lang w:val="en-US"/>
          <w14:textFill>
            <w14:solidFill>
              <w14:schemeClr w14:val="tx1"/>
            </w14:solidFill>
          </w14:textFill>
        </w:rPr>
      </w:pPr>
    </w:p>
    <w:p w14:paraId="3A574EED">
      <w:pPr>
        <w:rPr>
          <w:rFonts w:hint="default"/>
          <w:b w:val="0"/>
          <w:bCs w:val="0"/>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Insights:</w:t>
      </w:r>
      <w:r>
        <w:rPr>
          <w:rFonts w:hint="default"/>
          <w:b w:val="0"/>
          <w:bCs w:val="0"/>
          <w:color w:val="000000" w:themeColor="text1"/>
          <w:sz w:val="20"/>
          <w:szCs w:val="20"/>
          <w:lang w:val="en-US"/>
          <w14:textFill>
            <w14:solidFill>
              <w14:schemeClr w14:val="tx1"/>
            </w14:solidFill>
          </w14:textFill>
        </w:rPr>
        <w:t xml:space="preserve"> Identifies which categories benefit from additional contact attempts. Helps plan follow-up strategy per campaign type.</w:t>
      </w:r>
    </w:p>
    <w:p w14:paraId="6116349B">
      <w:pPr>
        <w:jc w:val="center"/>
      </w:pPr>
      <w:r>
        <w:drawing>
          <wp:inline distT="0" distB="0" distL="114300" distR="114300">
            <wp:extent cx="5478780" cy="2500630"/>
            <wp:effectExtent l="0" t="0" r="1270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tretch>
                      <a:fillRect/>
                    </a:stretch>
                  </pic:blipFill>
                  <pic:spPr>
                    <a:xfrm>
                      <a:off x="0" y="0"/>
                      <a:ext cx="5478780" cy="2500630"/>
                    </a:xfrm>
                    <a:prstGeom prst="rect">
                      <a:avLst/>
                    </a:prstGeom>
                    <a:noFill/>
                    <a:ln>
                      <a:noFill/>
                    </a:ln>
                  </pic:spPr>
                </pic:pic>
              </a:graphicData>
            </a:graphic>
          </wp:inline>
        </w:drawing>
      </w:r>
    </w:p>
    <w:p w14:paraId="12B982AD">
      <w:pPr>
        <w:jc w:val="center"/>
      </w:pPr>
    </w:p>
    <w:p w14:paraId="5BEEA14A">
      <w:pPr>
        <w:jc w:val="left"/>
        <w:rPr>
          <w:rFonts w:hint="default"/>
          <w:lang w:val="en-US"/>
        </w:rPr>
      </w:pPr>
      <w:r>
        <w:rPr>
          <w:rFonts w:hint="default"/>
          <w:lang w:val="en-US"/>
        </w:rPr>
        <w:t>The “Attempt Effectiveness by Campaign Category” chart compares response rates across sequential outreach attempts for Pre Admission (orange) and Post Admission (blue) campaigns. Both categories show high effectiveness in the first 15 attempts, but Pre Admission peaks early (around Attempt 25–28 at 4%) and drops to 0% after Attempt 35, whereas Post Admission maintains measurable responses up to Attempt 75, peaking late at 2.7%. The chart highlights diminishing returns, volatility, and the need for a dual strategy: limit attempts for Pre Admission campaigns while persisting with Post Admission efforts to maximize conversions and optimize resource allocation.</w:t>
      </w:r>
    </w:p>
    <w:p w14:paraId="7B80C061">
      <w:pPr>
        <w:jc w:val="left"/>
        <w:rPr>
          <w:rFonts w:hint="default"/>
          <w:lang w:val="en-US"/>
        </w:rPr>
      </w:pPr>
    </w:p>
    <w:p w14:paraId="12E23494">
      <w:pPr>
        <w:jc w:val="left"/>
        <w:rPr>
          <w:rFonts w:hint="default"/>
          <w:lang w:val="en-US"/>
        </w:rPr>
      </w:pPr>
    </w:p>
    <w:p w14:paraId="1DC7287F">
      <w:pPr>
        <w:numPr>
          <w:ilvl w:val="0"/>
          <w:numId w:val="10"/>
        </w:numPr>
        <w:jc w:val="left"/>
        <w:rPr>
          <w:rFonts w:hint="default"/>
          <w:b/>
          <w:bCs/>
          <w:color w:val="2AA59B"/>
          <w:lang w:val="en-US"/>
        </w:rPr>
      </w:pPr>
      <w:r>
        <w:rPr>
          <w:rFonts w:hint="default"/>
          <w:b/>
          <w:bCs/>
          <w:color w:val="2AA59B"/>
          <w:lang w:val="en-US"/>
        </w:rPr>
        <w:t>Distribution of Application IDs</w:t>
      </w:r>
    </w:p>
    <w:p w14:paraId="4BCE469F">
      <w:pPr>
        <w:numPr>
          <w:ilvl w:val="0"/>
          <w:numId w:val="0"/>
        </w:numPr>
        <w:jc w:val="left"/>
        <w:rPr>
          <w:rFonts w:hint="default"/>
          <w:b/>
          <w:bCs/>
          <w:color w:val="000000" w:themeColor="text1"/>
          <w:lang w:val="en-US"/>
          <w14:textFill>
            <w14:solidFill>
              <w14:schemeClr w14:val="tx1"/>
            </w14:solidFill>
          </w14:textFill>
        </w:rPr>
      </w:pPr>
    </w:p>
    <w:p w14:paraId="6B314682">
      <w:pPr>
        <w:numPr>
          <w:ilvl w:val="0"/>
          <w:numId w:val="0"/>
        </w:numPr>
        <w:jc w:val="left"/>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 xml:space="preserve">Insights: </w:t>
      </w:r>
      <w:r>
        <w:rPr>
          <w:rFonts w:hint="default"/>
          <w:b w:val="0"/>
          <w:bCs w:val="0"/>
          <w:color w:val="000000" w:themeColor="text1"/>
          <w:lang w:val="en-US"/>
          <w14:textFill>
            <w14:solidFill>
              <w14:schemeClr w14:val="tx1"/>
            </w14:solidFill>
          </w14:textFill>
        </w:rPr>
        <w:t>Confirms sequential assignment of IDs and overall data volume. Helps validate data integrity and detect anomalies.</w:t>
      </w:r>
    </w:p>
    <w:p w14:paraId="2D1FAA62">
      <w:pPr>
        <w:numPr>
          <w:ilvl w:val="0"/>
          <w:numId w:val="0"/>
        </w:numPr>
        <w:jc w:val="center"/>
        <w:rPr>
          <w:sz w:val="20"/>
        </w:rPr>
      </w:pPr>
    </w:p>
    <w:p w14:paraId="099D38DD">
      <w:pPr>
        <w:numPr>
          <w:ilvl w:val="0"/>
          <w:numId w:val="0"/>
        </w:numPr>
        <w:jc w:val="center"/>
        <w:rPr>
          <w:sz w:val="20"/>
        </w:rPr>
      </w:pPr>
      <w:r>
        <w:rPr>
          <w:sz w:val="20"/>
        </w:rPr>
        <w:drawing>
          <wp:inline distT="0" distB="0" distL="0" distR="0">
            <wp:extent cx="3509645" cy="2293620"/>
            <wp:effectExtent l="0" t="0" r="10160" b="1397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3509645" cy="2293620"/>
                    </a:xfrm>
                    <a:prstGeom prst="rect">
                      <a:avLst/>
                    </a:prstGeom>
                  </pic:spPr>
                </pic:pic>
              </a:graphicData>
            </a:graphic>
          </wp:inline>
        </w:drawing>
      </w:r>
    </w:p>
    <w:p w14:paraId="173183A0">
      <w:pPr>
        <w:numPr>
          <w:ilvl w:val="0"/>
          <w:numId w:val="0"/>
        </w:numPr>
        <w:jc w:val="center"/>
        <w:rPr>
          <w:sz w:val="20"/>
        </w:rPr>
      </w:pPr>
    </w:p>
    <w:p w14:paraId="1E13C89E">
      <w:pPr>
        <w:numPr>
          <w:ilvl w:val="0"/>
          <w:numId w:val="0"/>
        </w:numPr>
        <w:jc w:val="center"/>
        <w:rPr>
          <w:sz w:val="20"/>
        </w:rPr>
      </w:pPr>
    </w:p>
    <w:p w14:paraId="7DB636C9">
      <w:pPr>
        <w:numPr>
          <w:ilvl w:val="0"/>
          <w:numId w:val="0"/>
        </w:numPr>
        <w:jc w:val="left"/>
        <w:rPr>
          <w:rFonts w:hint="default"/>
          <w:sz w:val="20"/>
          <w:lang w:val="en-US"/>
        </w:rPr>
      </w:pPr>
      <w:r>
        <w:rPr>
          <w:rFonts w:hint="default"/>
          <w:sz w:val="20"/>
          <w:lang w:val="en-US"/>
        </w:rPr>
        <w:t>The histogram illustrates the frequency distribution of Application IDs, showing a highly left-skewed pattern where nearly all IDs are concentrated near the lower range. The first bin (IDs under 101010^{10}1010) peaks around 600,000 records, confirming the sequential and incremental nature of ID assignment. The absence of high-value outliers indicates consistent data generation without system anomalies, validating the integrity and structure of the application database.</w:t>
      </w:r>
    </w:p>
    <w:p w14:paraId="3E197EC2">
      <w:pPr>
        <w:numPr>
          <w:ilvl w:val="0"/>
          <w:numId w:val="0"/>
        </w:numPr>
        <w:jc w:val="left"/>
        <w:rPr>
          <w:rFonts w:hint="default"/>
          <w:sz w:val="20"/>
          <w:lang w:val="en-US"/>
        </w:rPr>
      </w:pPr>
    </w:p>
    <w:p w14:paraId="79D0ABC9">
      <w:pPr>
        <w:rPr>
          <w:rFonts w:hint="default"/>
          <w:b/>
          <w:bCs/>
          <w:i/>
          <w:iCs/>
          <w:color w:val="AFABAB" w:themeColor="background2" w:themeShade="BF"/>
          <w:sz w:val="21"/>
          <w:szCs w:val="21"/>
          <w:lang w:val="en-US"/>
        </w:rPr>
      </w:pPr>
    </w:p>
    <w:p w14:paraId="0A9C555A">
      <w:pPr>
        <w:numPr>
          <w:ilvl w:val="0"/>
          <w:numId w:val="10"/>
        </w:numPr>
        <w:ind w:left="0" w:leftChars="0" w:firstLine="0" w:firstLineChars="0"/>
        <w:rPr>
          <w:rFonts w:hint="default"/>
          <w:b/>
          <w:bCs/>
          <w:i w:val="0"/>
          <w:iCs w:val="0"/>
          <w:color w:val="2AA59B"/>
          <w:sz w:val="20"/>
          <w:szCs w:val="20"/>
          <w:lang w:val="en-US"/>
        </w:rPr>
      </w:pPr>
      <w:r>
        <w:rPr>
          <w:rFonts w:hint="default"/>
          <w:b/>
          <w:bCs/>
          <w:i w:val="0"/>
          <w:iCs w:val="0"/>
          <w:color w:val="2AA59B"/>
          <w:sz w:val="20"/>
          <w:szCs w:val="20"/>
          <w:lang w:val="en-US"/>
        </w:rPr>
        <w:t>Top Callers (by number of calls) - Top 15</w:t>
      </w:r>
    </w:p>
    <w:p w14:paraId="55BCDB21">
      <w:pPr>
        <w:rPr>
          <w:rFonts w:hint="default"/>
          <w:b w:val="0"/>
          <w:bCs w:val="0"/>
          <w:i w:val="0"/>
          <w:iCs w:val="0"/>
          <w:color w:val="000000" w:themeColor="text1"/>
          <w:sz w:val="20"/>
          <w:szCs w:val="20"/>
          <w:lang w:val="en-US"/>
          <w14:textFill>
            <w14:solidFill>
              <w14:schemeClr w14:val="tx1"/>
            </w14:solidFill>
          </w14:textFill>
        </w:rPr>
      </w:pPr>
      <w:r>
        <w:rPr>
          <w:rFonts w:hint="default"/>
          <w:b/>
          <w:bCs/>
          <w:i w:val="0"/>
          <w:iCs w:val="0"/>
          <w:color w:val="000000" w:themeColor="text1"/>
          <w:sz w:val="20"/>
          <w:szCs w:val="20"/>
          <w:lang w:val="en-US"/>
          <w14:textFill>
            <w14:solidFill>
              <w14:schemeClr w14:val="tx1"/>
            </w14:solidFill>
          </w14:textFill>
        </w:rPr>
        <w:t>Insights:</w:t>
      </w:r>
      <w:r>
        <w:rPr>
          <w:rFonts w:hint="default"/>
          <w:b w:val="0"/>
          <w:bCs w:val="0"/>
          <w:i w:val="0"/>
          <w:iCs w:val="0"/>
          <w:color w:val="000000" w:themeColor="text1"/>
          <w:sz w:val="20"/>
          <w:szCs w:val="20"/>
          <w:lang w:val="en-US"/>
          <w14:textFill>
            <w14:solidFill>
              <w14:schemeClr w14:val="tx1"/>
            </w14:solidFill>
          </w14:textFill>
        </w:rPr>
        <w:t xml:space="preserve"> Reveals top-performing callers and workload concentration. Guides resource allocation, training, and risk management.</w:t>
      </w:r>
    </w:p>
    <w:p w14:paraId="55EDCED6">
      <w:pPr>
        <w:jc w:val="center"/>
        <w:rPr>
          <w:rFonts w:hint="default"/>
          <w:b/>
          <w:bCs/>
          <w:i/>
          <w:iCs/>
          <w:color w:val="AFABAB" w:themeColor="background2" w:themeShade="BF"/>
          <w:sz w:val="21"/>
          <w:szCs w:val="21"/>
          <w:lang w:val="en-US"/>
        </w:rPr>
      </w:pPr>
      <w:r>
        <w:rPr>
          <w:rFonts w:ascii="Calibri" w:hAnsi="Calibri" w:eastAsia="Calibri" w:cs="Calibri"/>
          <w:b w:val="0"/>
          <w:i w:val="0"/>
          <w:smallCaps w:val="0"/>
          <w:strike w:val="0"/>
          <w:color w:val="000000"/>
          <w:sz w:val="24"/>
          <w:szCs w:val="24"/>
          <w:u w:val="none"/>
          <w:shd w:val="clear" w:fill="auto"/>
          <w:vertAlign w:val="baseline"/>
        </w:rPr>
        <w:drawing>
          <wp:inline distT="19050" distB="19050" distL="19050" distR="19050">
            <wp:extent cx="3447415" cy="1890395"/>
            <wp:effectExtent l="0" t="0" r="13970" b="8255"/>
            <wp:docPr id="23" name="image1.png"/>
            <wp:cNvGraphicFramePr/>
            <a:graphic xmlns:a="http://schemas.openxmlformats.org/drawingml/2006/main">
              <a:graphicData uri="http://schemas.openxmlformats.org/drawingml/2006/picture">
                <pic:pic xmlns:pic="http://schemas.openxmlformats.org/drawingml/2006/picture">
                  <pic:nvPicPr>
                    <pic:cNvPr id="23" name="image1.png"/>
                    <pic:cNvPicPr preferRelativeResize="0"/>
                  </pic:nvPicPr>
                  <pic:blipFill>
                    <a:blip r:embed="rId27"/>
                    <a:srcRect/>
                    <a:stretch>
                      <a:fillRect/>
                    </a:stretch>
                  </pic:blipFill>
                  <pic:spPr>
                    <a:xfrm>
                      <a:off x="0" y="0"/>
                      <a:ext cx="3447415" cy="1890395"/>
                    </a:xfrm>
                    <a:prstGeom prst="rect">
                      <a:avLst/>
                    </a:prstGeom>
                  </pic:spPr>
                </pic:pic>
              </a:graphicData>
            </a:graphic>
          </wp:inline>
        </w:drawing>
      </w:r>
    </w:p>
    <w:p w14:paraId="4E68594C">
      <w:pPr>
        <w:rPr>
          <w:rFonts w:hint="default"/>
          <w:b w:val="0"/>
          <w:bCs w:val="0"/>
          <w:i w:val="0"/>
          <w:iCs w:val="0"/>
          <w:color w:val="000000" w:themeColor="text1"/>
          <w:sz w:val="20"/>
          <w:szCs w:val="20"/>
          <w:lang w:val="en-US"/>
          <w14:textFill>
            <w14:solidFill>
              <w14:schemeClr w14:val="tx1"/>
            </w14:solidFill>
          </w14:textFill>
        </w:rPr>
      </w:pPr>
      <w:r>
        <w:rPr>
          <w:rFonts w:hint="default"/>
          <w:b w:val="0"/>
          <w:bCs w:val="0"/>
          <w:i w:val="0"/>
          <w:iCs w:val="0"/>
          <w:color w:val="000000" w:themeColor="text1"/>
          <w:sz w:val="20"/>
          <w:szCs w:val="20"/>
          <w:lang w:val="en-US"/>
          <w14:textFill>
            <w14:solidFill>
              <w14:schemeClr w14:val="tx1"/>
            </w14:solidFill>
          </w14:textFill>
        </w:rPr>
        <w:t>The Top Callers (by number of calls) – Top 15 chart shows a highly skewed distribution of call volumes among the top performers. Rudra leads with ~14,100 calls, nearly double the second-ranked Prajwal (~7,900), while the remaining top 15 show a rapid drop-off, with the lowest five under 200 calls. This highlights uneven workload distribution and a concentration of productivity among a few individuals. The implications include business continuity risk due to reliance on top performers, performance benchmarking for setting team goals, training opportunities to uplift lower-volume callers, and the need for resource management to prevent burnout among the top contributors.</w:t>
      </w:r>
    </w:p>
    <w:p w14:paraId="5FC74314">
      <w:pPr>
        <w:rPr>
          <w:rFonts w:hint="default"/>
          <w:b/>
          <w:bCs/>
          <w:i/>
          <w:iCs/>
          <w:color w:val="AFABAB" w:themeColor="background2" w:themeShade="BF"/>
          <w:sz w:val="21"/>
          <w:szCs w:val="21"/>
          <w:lang w:val="en-US"/>
        </w:rPr>
      </w:pPr>
    </w:p>
    <w:p w14:paraId="2878CD8A">
      <w:pPr>
        <w:rPr>
          <w:rFonts w:hint="default"/>
          <w:b/>
          <w:bCs/>
          <w:i/>
          <w:iCs/>
          <w:color w:val="AFABAB" w:themeColor="background2" w:themeShade="BF"/>
          <w:sz w:val="21"/>
          <w:szCs w:val="21"/>
          <w:lang w:val="en-US"/>
        </w:rPr>
      </w:pPr>
      <w:r>
        <w:rPr>
          <w:rFonts w:hint="default"/>
          <w:b/>
          <w:bCs/>
          <w:i/>
          <w:iCs/>
          <w:color w:val="AFABAB" w:themeColor="background2" w:themeShade="BF"/>
          <w:sz w:val="21"/>
          <w:szCs w:val="21"/>
          <w:lang w:val="en-US"/>
        </w:rPr>
        <w:t>(Advanced Insights using Excel)</w:t>
      </w:r>
    </w:p>
    <w:p w14:paraId="421C1827">
      <w:pPr>
        <w:numPr>
          <w:ilvl w:val="0"/>
          <w:numId w:val="10"/>
        </w:numPr>
        <w:ind w:left="0" w:leftChars="0" w:firstLine="0" w:firstLineChars="0"/>
        <w:rPr>
          <w:rFonts w:hint="default"/>
          <w:b/>
          <w:bCs/>
          <w:i w:val="0"/>
          <w:iCs w:val="0"/>
          <w:color w:val="2AA59B"/>
          <w:sz w:val="20"/>
          <w:szCs w:val="20"/>
          <w:lang w:val="en-US"/>
        </w:rPr>
      </w:pPr>
      <w:r>
        <w:rPr>
          <w:rFonts w:hint="default"/>
          <w:b/>
          <w:bCs/>
          <w:i w:val="0"/>
          <w:iCs w:val="0"/>
          <w:color w:val="2AA59B"/>
          <w:sz w:val="20"/>
          <w:szCs w:val="20"/>
          <w:lang w:val="en-US"/>
        </w:rPr>
        <w:t>Trend of Categories vs. Phone Numbers</w:t>
      </w:r>
    </w:p>
    <w:p w14:paraId="4D6E57D2">
      <w:pPr>
        <w:rPr>
          <w:rFonts w:hint="default"/>
          <w:b w:val="0"/>
          <w:bCs w:val="0"/>
          <w:i w:val="0"/>
          <w:iCs w:val="0"/>
          <w:color w:val="000000" w:themeColor="text1"/>
          <w:sz w:val="20"/>
          <w:szCs w:val="20"/>
          <w:lang w:val="en-US"/>
          <w14:textFill>
            <w14:solidFill>
              <w14:schemeClr w14:val="tx1"/>
            </w14:solidFill>
          </w14:textFill>
        </w:rPr>
      </w:pPr>
    </w:p>
    <w:p w14:paraId="17CA444D">
      <w:pPr>
        <w:rPr>
          <w:rFonts w:hint="default"/>
          <w:b w:val="0"/>
          <w:bCs w:val="0"/>
          <w:i w:val="0"/>
          <w:iCs w:val="0"/>
          <w:color w:val="000000" w:themeColor="text1"/>
          <w:sz w:val="20"/>
          <w:szCs w:val="20"/>
          <w:lang w:val="en-US"/>
          <w14:textFill>
            <w14:solidFill>
              <w14:schemeClr w14:val="tx1"/>
            </w14:solidFill>
          </w14:textFill>
        </w:rPr>
      </w:pPr>
      <w:r>
        <w:rPr>
          <w:rFonts w:hint="default"/>
          <w:b/>
          <w:bCs/>
          <w:i w:val="0"/>
          <w:iCs w:val="0"/>
          <w:color w:val="000000" w:themeColor="text1"/>
          <w:sz w:val="20"/>
          <w:szCs w:val="20"/>
          <w:lang w:val="en-US"/>
          <w14:textFill>
            <w14:solidFill>
              <w14:schemeClr w14:val="tx1"/>
            </w14:solidFill>
          </w14:textFill>
        </w:rPr>
        <w:t>Insights:</w:t>
      </w:r>
      <w:r>
        <w:rPr>
          <w:rFonts w:hint="default"/>
          <w:b w:val="0"/>
          <w:bCs w:val="0"/>
          <w:i w:val="0"/>
          <w:iCs w:val="0"/>
          <w:color w:val="000000" w:themeColor="text1"/>
          <w:sz w:val="20"/>
          <w:szCs w:val="20"/>
          <w:lang w:val="en-US"/>
          <w14:textFill>
            <w14:solidFill>
              <w14:schemeClr w14:val="tx1"/>
            </w14:solidFill>
          </w14:textFill>
        </w:rPr>
        <w:t xml:space="preserve"> Tracks peaks and gaps in category and phone number activity over time. Supports planning for high-volume periods and resource allocation.</w:t>
      </w:r>
    </w:p>
    <w:p w14:paraId="3B04FB80">
      <w:pPr>
        <w:rPr>
          <w:rFonts w:hint="default"/>
          <w:b w:val="0"/>
          <w:bCs w:val="0"/>
          <w:i w:val="0"/>
          <w:iCs w:val="0"/>
          <w:color w:val="000000" w:themeColor="text1"/>
          <w:sz w:val="20"/>
          <w:szCs w:val="20"/>
          <w:lang w:val="en-US"/>
          <w14:textFill>
            <w14:solidFill>
              <w14:schemeClr w14:val="tx1"/>
            </w14:solidFill>
          </w14:textFill>
        </w:rPr>
      </w:pPr>
      <w:r>
        <w:rPr>
          <w:rFonts w:hint="default"/>
          <w:b w:val="0"/>
          <w:bCs w:val="0"/>
          <w:i w:val="0"/>
          <w:iCs w:val="0"/>
          <w:color w:val="000000" w:themeColor="text1"/>
          <w:sz w:val="20"/>
          <w:szCs w:val="20"/>
          <w:lang w:val="en-US"/>
          <w14:textFill>
            <w14:solidFill>
              <w14:schemeClr w14:val="tx1"/>
            </w14:solidFill>
          </w14:textFill>
        </w:rPr>
        <w:drawing>
          <wp:inline distT="0" distB="0" distL="114300" distR="114300">
            <wp:extent cx="5271135" cy="1692275"/>
            <wp:effectExtent l="0" t="0" r="1270" b="1905"/>
            <wp:docPr id="20" name="Picture 20" descr="unique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nique trend"/>
                    <pic:cNvPicPr>
                      <a:picLocks noChangeAspect="1"/>
                    </pic:cNvPicPr>
                  </pic:nvPicPr>
                  <pic:blipFill>
                    <a:blip r:embed="rId28"/>
                    <a:stretch>
                      <a:fillRect/>
                    </a:stretch>
                  </pic:blipFill>
                  <pic:spPr>
                    <a:xfrm>
                      <a:off x="0" y="0"/>
                      <a:ext cx="5271135" cy="1692275"/>
                    </a:xfrm>
                    <a:prstGeom prst="rect">
                      <a:avLst/>
                    </a:prstGeom>
                  </pic:spPr>
                </pic:pic>
              </a:graphicData>
            </a:graphic>
          </wp:inline>
        </w:drawing>
      </w:r>
    </w:p>
    <w:p w14:paraId="55F596E1">
      <w:pPr>
        <w:rPr>
          <w:rFonts w:hint="default"/>
          <w:b w:val="0"/>
          <w:bCs w:val="0"/>
          <w:i w:val="0"/>
          <w:iCs w:val="0"/>
          <w:color w:val="000000" w:themeColor="text1"/>
          <w:sz w:val="20"/>
          <w:szCs w:val="20"/>
          <w:lang w:val="en-US"/>
          <w14:textFill>
            <w14:solidFill>
              <w14:schemeClr w14:val="tx1"/>
            </w14:solidFill>
          </w14:textFill>
        </w:rPr>
      </w:pPr>
      <w:r>
        <w:rPr>
          <w:rFonts w:hint="default"/>
          <w:b w:val="0"/>
          <w:bCs w:val="0"/>
          <w:i w:val="0"/>
          <w:iCs w:val="0"/>
          <w:color w:val="000000" w:themeColor="text1"/>
          <w:sz w:val="20"/>
          <w:szCs w:val="20"/>
          <w:lang w:val="en-US"/>
          <w14:textFill>
            <w14:solidFill>
              <w14:schemeClr w14:val="tx1"/>
            </w14:solidFill>
          </w14:textFill>
        </w:rPr>
        <w:t>The line chart tracks Count of Category (green) and Count of Phone_Number (blue) over time. Category counts are consistently about double the phone number counts. Two major spikes are observed: May 2023 (≈17k categories, 9k phone numbers) and October 2024 (≈37k categories, 19k phone numbers).The chart highlights extreme volatility and recurring peak events, indicating seasonal or event-driven activity. The non-sequential years (2024, 2023, 2024) suggest timeline inconsistencies.</w:t>
      </w:r>
    </w:p>
    <w:p w14:paraId="439CDC47">
      <w:pPr>
        <w:rPr>
          <w:rFonts w:hint="default"/>
          <w:b w:val="0"/>
          <w:bCs w:val="0"/>
          <w:i w:val="0"/>
          <w:iCs w:val="0"/>
          <w:color w:val="000000" w:themeColor="text1"/>
          <w:sz w:val="20"/>
          <w:szCs w:val="20"/>
          <w:lang w:val="en-US"/>
          <w14:textFill>
            <w14:solidFill>
              <w14:schemeClr w14:val="tx1"/>
            </w14:solidFill>
          </w14:textFill>
        </w:rPr>
      </w:pPr>
      <w:r>
        <w:rPr>
          <w:rFonts w:hint="default"/>
          <w:b/>
          <w:bCs/>
          <w:i w:val="0"/>
          <w:iCs w:val="0"/>
          <w:color w:val="000000" w:themeColor="text1"/>
          <w:sz w:val="20"/>
          <w:szCs w:val="20"/>
          <w:lang w:val="en-US"/>
          <w14:textFill>
            <w14:solidFill>
              <w14:schemeClr w14:val="tx1"/>
            </w14:solidFill>
          </w14:textFill>
        </w:rPr>
        <w:t xml:space="preserve">Implications: </w:t>
      </w:r>
      <w:r>
        <w:rPr>
          <w:rFonts w:hint="default"/>
          <w:b w:val="0"/>
          <w:bCs w:val="0"/>
          <w:i w:val="0"/>
          <w:iCs w:val="0"/>
          <w:color w:val="000000" w:themeColor="text1"/>
          <w:sz w:val="20"/>
          <w:szCs w:val="20"/>
          <w:lang w:val="en-US"/>
          <w14:textFill>
            <w14:solidFill>
              <w14:schemeClr w14:val="tx1"/>
            </w14:solidFill>
          </w14:textFill>
        </w:rPr>
        <w:t>Peaks require capacity planning and resource allocation, investigation into spike causes, and verification of data integrity. The stable ratio between categories and phone numbers is useful for process monitoring and forecasting.</w:t>
      </w:r>
    </w:p>
    <w:p w14:paraId="5D4251E1">
      <w:pPr>
        <w:rPr>
          <w:rFonts w:hint="default"/>
          <w:b w:val="0"/>
          <w:bCs w:val="0"/>
          <w:i w:val="0"/>
          <w:iCs w:val="0"/>
          <w:color w:val="000000" w:themeColor="text1"/>
          <w:sz w:val="20"/>
          <w:szCs w:val="20"/>
          <w:lang w:val="en-US"/>
          <w14:textFill>
            <w14:solidFill>
              <w14:schemeClr w14:val="tx1"/>
            </w14:solidFill>
          </w14:textFill>
        </w:rPr>
      </w:pPr>
    </w:p>
    <w:p w14:paraId="4F2AACB7">
      <w:pPr>
        <w:rPr>
          <w:rFonts w:hint="default"/>
          <w:b w:val="0"/>
          <w:bCs w:val="0"/>
          <w:i w:val="0"/>
          <w:iCs w:val="0"/>
          <w:color w:val="000000" w:themeColor="text1"/>
          <w:sz w:val="20"/>
          <w:szCs w:val="20"/>
          <w:lang w:val="en-US"/>
          <w14:textFill>
            <w14:solidFill>
              <w14:schemeClr w14:val="tx1"/>
            </w14:solidFill>
          </w14:textFill>
        </w:rPr>
      </w:pPr>
    </w:p>
    <w:p w14:paraId="2BB33E50">
      <w:pPr>
        <w:rPr>
          <w:rFonts w:hint="default"/>
          <w:b w:val="0"/>
          <w:bCs w:val="0"/>
          <w:i w:val="0"/>
          <w:iCs w:val="0"/>
          <w:color w:val="000000" w:themeColor="text1"/>
          <w:sz w:val="20"/>
          <w:szCs w:val="20"/>
          <w:lang w:val="en-US"/>
          <w14:textFill>
            <w14:solidFill>
              <w14:schemeClr w14:val="tx1"/>
            </w14:solidFill>
          </w14:textFill>
        </w:rPr>
      </w:pPr>
    </w:p>
    <w:p w14:paraId="19DF2217">
      <w:pPr>
        <w:rPr>
          <w:rFonts w:hint="default"/>
          <w:b w:val="0"/>
          <w:bCs w:val="0"/>
          <w:i w:val="0"/>
          <w:iCs w:val="0"/>
          <w:color w:val="000000" w:themeColor="text1"/>
          <w:sz w:val="20"/>
          <w:szCs w:val="20"/>
          <w:lang w:val="en-US"/>
          <w14:textFill>
            <w14:solidFill>
              <w14:schemeClr w14:val="tx1"/>
            </w14:solidFill>
          </w14:textFill>
        </w:rPr>
      </w:pPr>
    </w:p>
    <w:p w14:paraId="208E2B47">
      <w:pPr>
        <w:rPr>
          <w:rFonts w:hint="default"/>
          <w:b w:val="0"/>
          <w:bCs w:val="0"/>
          <w:i w:val="0"/>
          <w:iCs w:val="0"/>
          <w:color w:val="000000" w:themeColor="text1"/>
          <w:sz w:val="20"/>
          <w:szCs w:val="20"/>
          <w:lang w:val="en-US"/>
          <w14:textFill>
            <w14:solidFill>
              <w14:schemeClr w14:val="tx1"/>
            </w14:solidFill>
          </w14:textFill>
        </w:rPr>
      </w:pPr>
    </w:p>
    <w:p w14:paraId="2C6FBE24">
      <w:pPr>
        <w:numPr>
          <w:ilvl w:val="0"/>
          <w:numId w:val="10"/>
        </w:numPr>
        <w:ind w:left="0" w:leftChars="0" w:firstLine="0" w:firstLineChars="0"/>
        <w:rPr>
          <w:rFonts w:hint="default"/>
          <w:b/>
          <w:bCs/>
          <w:i w:val="0"/>
          <w:iCs w:val="0"/>
          <w:color w:val="2AA59B"/>
          <w:sz w:val="20"/>
          <w:szCs w:val="20"/>
          <w:lang w:val="en-US"/>
        </w:rPr>
      </w:pPr>
      <w:r>
        <w:rPr>
          <w:rFonts w:hint="default"/>
          <w:b/>
          <w:bCs/>
          <w:i w:val="0"/>
          <w:iCs w:val="0"/>
          <w:color w:val="2AA59B"/>
          <w:sz w:val="20"/>
          <w:szCs w:val="20"/>
          <w:lang w:val="en-US"/>
        </w:rPr>
        <w:t>Outreach Attempts Over Time</w:t>
      </w:r>
    </w:p>
    <w:p w14:paraId="48801113">
      <w:pPr>
        <w:numPr>
          <w:ilvl w:val="0"/>
          <w:numId w:val="0"/>
        </w:numPr>
        <w:ind w:leftChars="0"/>
        <w:rPr>
          <w:rFonts w:hint="default"/>
          <w:b/>
          <w:bCs/>
          <w:i w:val="0"/>
          <w:iCs w:val="0"/>
          <w:color w:val="2AA59B"/>
          <w:sz w:val="20"/>
          <w:szCs w:val="20"/>
          <w:lang w:val="en-US"/>
        </w:rPr>
      </w:pPr>
    </w:p>
    <w:p w14:paraId="4A970750">
      <w:pPr>
        <w:numPr>
          <w:ilvl w:val="0"/>
          <w:numId w:val="0"/>
        </w:numPr>
        <w:ind w:leftChars="0"/>
        <w:rPr>
          <w:rFonts w:hint="default"/>
          <w:b w:val="0"/>
          <w:bCs w:val="0"/>
          <w:i w:val="0"/>
          <w:iCs w:val="0"/>
          <w:color w:val="000000" w:themeColor="text1"/>
          <w:sz w:val="20"/>
          <w:szCs w:val="20"/>
          <w:lang w:val="en-US"/>
          <w14:textFill>
            <w14:solidFill>
              <w14:schemeClr w14:val="tx1"/>
            </w14:solidFill>
          </w14:textFill>
        </w:rPr>
      </w:pPr>
      <w:r>
        <w:rPr>
          <w:rFonts w:hint="default"/>
          <w:b/>
          <w:bCs/>
          <w:i w:val="0"/>
          <w:iCs w:val="0"/>
          <w:color w:val="000000" w:themeColor="text1"/>
          <w:sz w:val="20"/>
          <w:szCs w:val="20"/>
          <w:lang w:val="en-US"/>
          <w14:textFill>
            <w14:solidFill>
              <w14:schemeClr w14:val="tx1"/>
            </w14:solidFill>
          </w14:textFill>
        </w:rPr>
        <w:t xml:space="preserve">Insights: </w:t>
      </w:r>
      <w:r>
        <w:rPr>
          <w:rFonts w:hint="default"/>
          <w:b w:val="0"/>
          <w:bCs w:val="0"/>
          <w:i w:val="0"/>
          <w:iCs w:val="0"/>
          <w:color w:val="000000" w:themeColor="text1"/>
          <w:sz w:val="20"/>
          <w:szCs w:val="20"/>
          <w:lang w:val="en-US"/>
          <w14:textFill>
            <w14:solidFill>
              <w14:schemeClr w14:val="tx1"/>
            </w14:solidFill>
          </w14:textFill>
        </w:rPr>
        <w:t>Highlights periods of high and low outreach activity. Assists in optimizing timing, staffing, and follow-up strategies.</w:t>
      </w:r>
    </w:p>
    <w:p w14:paraId="3749FD48">
      <w:pPr>
        <w:numPr>
          <w:ilvl w:val="0"/>
          <w:numId w:val="0"/>
        </w:numPr>
        <w:ind w:leftChars="0"/>
        <w:rPr>
          <w:rFonts w:hint="default"/>
          <w:b w:val="0"/>
          <w:bCs w:val="0"/>
          <w:i w:val="0"/>
          <w:iCs w:val="0"/>
          <w:color w:val="000000" w:themeColor="text1"/>
          <w:sz w:val="20"/>
          <w:szCs w:val="20"/>
          <w:lang w:val="en-US"/>
          <w14:textFill>
            <w14:solidFill>
              <w14:schemeClr w14:val="tx1"/>
            </w14:solidFill>
          </w14:textFill>
        </w:rPr>
      </w:pPr>
      <w:r>
        <w:rPr>
          <w:rFonts w:hint="default"/>
          <w:b w:val="0"/>
          <w:bCs w:val="0"/>
          <w:i w:val="0"/>
          <w:iCs w:val="0"/>
          <w:color w:val="000000" w:themeColor="text1"/>
          <w:sz w:val="20"/>
          <w:szCs w:val="20"/>
          <w:lang w:val="en-US"/>
          <w14:textFill>
            <w14:solidFill>
              <w14:schemeClr w14:val="tx1"/>
            </w14:solidFill>
          </w14:textFill>
        </w:rPr>
        <w:drawing>
          <wp:inline distT="0" distB="0" distL="114300" distR="114300">
            <wp:extent cx="5269230" cy="2985770"/>
            <wp:effectExtent l="0" t="0" r="3175" b="8255"/>
            <wp:docPr id="21" name="Picture 21" descr="unique out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nique outreach"/>
                    <pic:cNvPicPr>
                      <a:picLocks noChangeAspect="1"/>
                    </pic:cNvPicPr>
                  </pic:nvPicPr>
                  <pic:blipFill>
                    <a:blip r:embed="rId29"/>
                    <a:stretch>
                      <a:fillRect/>
                    </a:stretch>
                  </pic:blipFill>
                  <pic:spPr>
                    <a:xfrm>
                      <a:off x="0" y="0"/>
                      <a:ext cx="5269230" cy="2985770"/>
                    </a:xfrm>
                    <a:prstGeom prst="rect">
                      <a:avLst/>
                    </a:prstGeom>
                  </pic:spPr>
                </pic:pic>
              </a:graphicData>
            </a:graphic>
          </wp:inline>
        </w:drawing>
      </w:r>
    </w:p>
    <w:p w14:paraId="6CF5F619">
      <w:pPr>
        <w:numPr>
          <w:ilvl w:val="0"/>
          <w:numId w:val="0"/>
        </w:numPr>
        <w:ind w:leftChars="0"/>
        <w:rPr>
          <w:rFonts w:hint="default"/>
          <w:b w:val="0"/>
          <w:bCs w:val="0"/>
          <w:i w:val="0"/>
          <w:iCs w:val="0"/>
          <w:color w:val="000000" w:themeColor="text1"/>
          <w:sz w:val="20"/>
          <w:szCs w:val="20"/>
          <w:lang w:val="en-US"/>
          <w14:textFill>
            <w14:solidFill>
              <w14:schemeClr w14:val="tx1"/>
            </w14:solidFill>
          </w14:textFill>
        </w:rPr>
      </w:pPr>
    </w:p>
    <w:p w14:paraId="2E97AE35">
      <w:pPr>
        <w:numPr>
          <w:ilvl w:val="0"/>
          <w:numId w:val="0"/>
        </w:numPr>
        <w:ind w:leftChars="0"/>
        <w:rPr>
          <w:rFonts w:hint="default"/>
          <w:b w:val="0"/>
          <w:bCs w:val="0"/>
          <w:i w:val="0"/>
          <w:iCs w:val="0"/>
          <w:color w:val="000000" w:themeColor="text1"/>
          <w:sz w:val="20"/>
          <w:szCs w:val="20"/>
          <w:lang w:val="en-US"/>
          <w14:textFill>
            <w14:solidFill>
              <w14:schemeClr w14:val="tx1"/>
            </w14:solidFill>
          </w14:textFill>
        </w:rPr>
      </w:pPr>
      <w:r>
        <w:rPr>
          <w:rFonts w:hint="default"/>
          <w:b w:val="0"/>
          <w:bCs w:val="0"/>
          <w:i w:val="0"/>
          <w:iCs w:val="0"/>
          <w:color w:val="000000" w:themeColor="text1"/>
          <w:sz w:val="20"/>
          <w:szCs w:val="20"/>
          <w:lang w:val="en-US"/>
          <w14:textFill>
            <w14:solidFill>
              <w14:schemeClr w14:val="tx1"/>
            </w14:solidFill>
          </w14:textFill>
        </w:rPr>
        <w:t>The grouped column chart "Outreach Attempts Over Time" tracks five closely aligned metrics (Caller_Name, Remark, Name, Category, Status) across select months from 2023–2024, all effectively measuring the same outreach events. The chart shows extreme variation, with low baseline months (&lt;1,500 attempts), moderate peaks (~4,000 in Jul 2023/Nov 2024), and major spikes in May 2023 (~8,000) and October 2024 (~18,000). The perfect alignment of metrics confirms data consistency, while the spikes highlight critical periods for staffing, campaign analysis, and resource planning. Low-volume months suggest potential operational lulls or seasonality, and metric redundancy indicates a simpler single-count approach could suffice for reporting.</w:t>
      </w:r>
    </w:p>
    <w:p w14:paraId="4FB7A7A8">
      <w:pPr>
        <w:numPr>
          <w:ilvl w:val="0"/>
          <w:numId w:val="0"/>
        </w:numPr>
        <w:ind w:leftChars="0"/>
        <w:rPr>
          <w:rFonts w:hint="default"/>
          <w:b w:val="0"/>
          <w:bCs w:val="0"/>
          <w:i w:val="0"/>
          <w:iCs w:val="0"/>
          <w:color w:val="000000" w:themeColor="text1"/>
          <w:sz w:val="20"/>
          <w:szCs w:val="20"/>
          <w:lang w:val="en-US"/>
          <w14:textFill>
            <w14:solidFill>
              <w14:schemeClr w14:val="tx1"/>
            </w14:solidFill>
          </w14:textFill>
        </w:rPr>
      </w:pPr>
    </w:p>
    <w:p w14:paraId="58F1A012">
      <w:pPr>
        <w:numPr>
          <w:ilvl w:val="0"/>
          <w:numId w:val="0"/>
        </w:numPr>
        <w:jc w:val="left"/>
        <w:rPr>
          <w:rFonts w:hint="default"/>
          <w:sz w:val="20"/>
          <w:lang w:val="en-US"/>
        </w:rPr>
      </w:pPr>
    </w:p>
    <w:p w14:paraId="3D464CF1">
      <w:pPr>
        <w:jc w:val="left"/>
        <w:rPr>
          <w:rFonts w:hint="default"/>
          <w:b/>
          <w:bCs/>
          <w:color w:val="2AA59B"/>
          <w:sz w:val="24"/>
          <w:szCs w:val="24"/>
          <w:lang w:val="en-US"/>
        </w:rPr>
      </w:pPr>
      <w:r>
        <w:rPr>
          <w:rFonts w:hint="default"/>
          <w:b/>
          <w:bCs/>
          <w:color w:val="2AA59B"/>
          <w:sz w:val="24"/>
          <w:szCs w:val="24"/>
          <w:lang w:val="en-US"/>
        </w:rPr>
        <w:t>EDA Summary</w:t>
      </w:r>
    </w:p>
    <w:p w14:paraId="15BDF961">
      <w:pPr>
        <w:jc w:val="left"/>
        <w:rPr>
          <w:rFonts w:hint="default"/>
          <w:lang w:val="en-US"/>
        </w:rPr>
      </w:pPr>
    </w:p>
    <w:p w14:paraId="5BFD8309">
      <w:pPr>
        <w:jc w:val="left"/>
        <w:rPr>
          <w:rFonts w:hint="default"/>
          <w:lang w:val="en-US"/>
        </w:rPr>
      </w:pPr>
      <w:r>
        <w:rPr>
          <w:rFonts w:hint="default"/>
          <w:lang w:val="en-US"/>
        </w:rPr>
        <w:t>The dataset comprises a total of 39,717 applicants originating from 125 countries, representing a diverse global applicant pool. However, only one university is recorded in the dataset, indicating that the outreach efforts are institution-specific. Among all countries, India emerges as the most dominant source of applicants, contributing the highest volume to the dataset.</w:t>
      </w:r>
    </w:p>
    <w:p w14:paraId="53C39DA4">
      <w:pPr>
        <w:jc w:val="left"/>
        <w:rPr>
          <w:rFonts w:hint="default"/>
          <w:lang w:val="en-US"/>
        </w:rPr>
      </w:pPr>
    </w:p>
    <w:p w14:paraId="2A0F1096">
      <w:pPr>
        <w:jc w:val="left"/>
        <w:rPr>
          <w:rFonts w:hint="default"/>
          <w:lang w:val="en-US"/>
        </w:rPr>
      </w:pPr>
    </w:p>
    <w:p w14:paraId="6594FDC2">
      <w:pPr>
        <w:jc w:val="left"/>
        <w:rPr>
          <w:rFonts w:hint="default"/>
          <w:b w:val="0"/>
          <w:bCs w:val="0"/>
          <w:color w:val="000000" w:themeColor="text1"/>
          <w:sz w:val="20"/>
          <w:szCs w:val="20"/>
          <w:lang w:val="en-US"/>
          <w14:textFill>
            <w14:solidFill>
              <w14:schemeClr w14:val="tx1"/>
            </w14:solidFill>
          </w14:textFill>
        </w:rPr>
      </w:pPr>
      <w:r>
        <w:rPr>
          <w:rFonts w:hint="default"/>
          <w:b/>
          <w:bCs/>
          <w:color w:val="C00000"/>
          <w:u w:val="single"/>
          <w:lang w:val="en-US"/>
        </w:rPr>
        <w:t>Important Note:</w:t>
      </w:r>
      <w:r>
        <w:rPr>
          <w:rFonts w:hint="default"/>
          <w:lang w:val="en-US"/>
        </w:rPr>
        <w:t xml:space="preserve"> </w:t>
      </w:r>
      <w:r>
        <w:rPr>
          <w:rFonts w:hint="default"/>
          <w:b w:val="0"/>
          <w:bCs w:val="0"/>
          <w:color w:val="000000" w:themeColor="text1"/>
          <w:sz w:val="20"/>
          <w:szCs w:val="20"/>
          <w:lang w:val="en-US"/>
          <w14:textFill>
            <w14:solidFill>
              <w14:schemeClr w14:val="tx1"/>
            </w14:solidFill>
          </w14:textFill>
        </w:rPr>
        <w:t>During EDA, new featured columns—</w:t>
      </w:r>
      <w:r>
        <w:rPr>
          <w:rFonts w:hint="default"/>
          <w:b/>
          <w:bCs/>
          <w:color w:val="000000" w:themeColor="text1"/>
          <w:sz w:val="20"/>
          <w:szCs w:val="20"/>
          <w:lang w:val="en-US"/>
          <w14:textFill>
            <w14:solidFill>
              <w14:schemeClr w14:val="tx1"/>
            </w14:solidFill>
          </w14:textFill>
        </w:rPr>
        <w:t>Month, Weekday, Hour, Is_Response, Is_Converted, Phone_Status, University_Tier</w:t>
      </w:r>
      <w:r>
        <w:rPr>
          <w:rFonts w:hint="default"/>
          <w:b w:val="0"/>
          <w:bCs w:val="0"/>
          <w:color w:val="000000" w:themeColor="text1"/>
          <w:sz w:val="20"/>
          <w:szCs w:val="20"/>
          <w:lang w:val="en-US"/>
          <w14:textFill>
            <w14:solidFill>
              <w14:schemeClr w14:val="tx1"/>
            </w14:solidFill>
          </w14:textFill>
        </w:rPr>
        <w:t>—were created to enhance analysis and support dashboard development. The resulting dataset was exported as “</w:t>
      </w:r>
      <w:r>
        <w:rPr>
          <w:rFonts w:hint="default"/>
          <w:b/>
          <w:bCs/>
          <w:color w:val="000000" w:themeColor="text1"/>
          <w:sz w:val="20"/>
          <w:szCs w:val="20"/>
          <w:lang w:val="en-US"/>
          <w14:textFill>
            <w14:solidFill>
              <w14:schemeClr w14:val="tx1"/>
            </w14:solidFill>
          </w14:textFill>
        </w:rPr>
        <w:t>Cleaned_Outreach_Campaign_Applicants_FinalData.csv”</w:t>
      </w:r>
      <w:r>
        <w:rPr>
          <w:rFonts w:hint="default"/>
          <w:b w:val="0"/>
          <w:bCs w:val="0"/>
          <w:color w:val="000000" w:themeColor="text1"/>
          <w:sz w:val="20"/>
          <w:szCs w:val="20"/>
          <w:lang w:val="en-US"/>
          <w14:textFill>
            <w14:solidFill>
              <w14:schemeClr w14:val="tx1"/>
            </w14:solidFill>
          </w14:textFill>
        </w:rPr>
        <w:t>.</w:t>
      </w:r>
    </w:p>
    <w:p w14:paraId="10018521">
      <w:pPr>
        <w:jc w:val="both"/>
        <w:rPr>
          <w:rFonts w:hint="default"/>
          <w:b w:val="0"/>
          <w:bCs w:val="0"/>
          <w:color w:val="000000" w:themeColor="text1"/>
          <w:sz w:val="20"/>
          <w:szCs w:val="20"/>
          <w:lang w:val="en-US"/>
          <w14:textFill>
            <w14:solidFill>
              <w14:schemeClr w14:val="tx1"/>
            </w14:solidFill>
          </w14:textFill>
        </w:rPr>
      </w:pPr>
    </w:p>
    <w:p w14:paraId="2411F1EB">
      <w:pPr>
        <w:jc w:val="both"/>
        <w:rPr>
          <w:rFonts w:hint="default"/>
          <w:b w:val="0"/>
          <w:bCs w:val="0"/>
          <w:color w:val="000000" w:themeColor="text1"/>
          <w:sz w:val="20"/>
          <w:szCs w:val="20"/>
          <w:lang w:val="en-US"/>
          <w14:textFill>
            <w14:solidFill>
              <w14:schemeClr w14:val="tx1"/>
            </w14:solidFill>
          </w14:textFill>
        </w:rPr>
      </w:pPr>
    </w:p>
    <w:p w14:paraId="52E31DFD">
      <w:pPr>
        <w:jc w:val="both"/>
        <w:rPr>
          <w:rFonts w:hint="default"/>
          <w:b w:val="0"/>
          <w:bCs w:val="0"/>
          <w:color w:val="000000" w:themeColor="text1"/>
          <w:sz w:val="20"/>
          <w:szCs w:val="20"/>
          <w:lang w:val="en-US"/>
          <w14:textFill>
            <w14:solidFill>
              <w14:schemeClr w14:val="tx1"/>
            </w14:solidFill>
          </w14:textFill>
        </w:rPr>
      </w:pPr>
    </w:p>
    <w:p w14:paraId="4FD9BD0C">
      <w:pPr>
        <w:jc w:val="both"/>
        <w:rPr>
          <w:rFonts w:hint="default"/>
          <w:b w:val="0"/>
          <w:bCs w:val="0"/>
          <w:color w:val="000000" w:themeColor="text1"/>
          <w:sz w:val="20"/>
          <w:szCs w:val="20"/>
          <w:lang w:val="en-US"/>
          <w14:textFill>
            <w14:solidFill>
              <w14:schemeClr w14:val="tx1"/>
            </w14:solidFill>
          </w14:textFill>
        </w:rPr>
      </w:pPr>
    </w:p>
    <w:p w14:paraId="7E35C50B">
      <w:pPr>
        <w:numPr>
          <w:ilvl w:val="0"/>
          <w:numId w:val="11"/>
        </w:numPr>
        <w:tabs>
          <w:tab w:val="clear" w:pos="420"/>
        </w:tabs>
        <w:ind w:left="420" w:leftChars="0" w:hanging="420" w:firstLineChars="0"/>
        <w:rPr>
          <w:rFonts w:hint="default"/>
          <w:b w:val="0"/>
          <w:bCs w:val="0"/>
          <w:color w:val="000000" w:themeColor="text1"/>
          <w:sz w:val="22"/>
          <w:szCs w:val="22"/>
          <w:u w:val="none"/>
          <w:lang w:val="en-US"/>
          <w14:textFill>
            <w14:solidFill>
              <w14:schemeClr w14:val="tx1"/>
            </w14:solidFill>
          </w14:textFill>
        </w:rPr>
      </w:pPr>
      <w:r>
        <w:rPr>
          <w:rFonts w:hint="default"/>
          <w:b/>
          <w:bCs/>
          <w:color w:val="C00000"/>
          <w:sz w:val="22"/>
          <w:szCs w:val="22"/>
          <w:u w:val="none"/>
          <w:lang w:val="en-US"/>
        </w:rPr>
        <w:t>To see how these charts were created using Python in Jupyter Notebook, visit this link:</w:t>
      </w:r>
    </w:p>
    <w:p w14:paraId="07FE28C0">
      <w:pPr>
        <w:numPr>
          <w:ilvl w:val="0"/>
          <w:numId w:val="0"/>
        </w:numPr>
        <w:ind w:leftChars="0"/>
        <w:rPr>
          <w:rFonts w:hint="default"/>
          <w:b w:val="0"/>
          <w:bCs w:val="0"/>
          <w:color w:val="000000" w:themeColor="text1"/>
          <w:sz w:val="22"/>
          <w:szCs w:val="22"/>
          <w:u w:val="none"/>
          <w:lang w:val="en-US"/>
          <w14:textFill>
            <w14:solidFill>
              <w14:schemeClr w14:val="tx1"/>
            </w14:solidFill>
          </w14:textFill>
        </w:rPr>
      </w:pPr>
      <w:r>
        <w:rPr>
          <w:rFonts w:hint="default"/>
          <w:b w:val="0"/>
          <w:bCs w:val="0"/>
          <w:color w:val="000000" w:themeColor="text1"/>
          <w:sz w:val="22"/>
          <w:szCs w:val="22"/>
          <w:u w:val="none"/>
          <w:lang w:val="en-US"/>
          <w14:textFill>
            <w14:solidFill>
              <w14:schemeClr w14:val="tx1"/>
            </w14:solidFill>
          </w14:textFill>
        </w:rPr>
        <w:fldChar w:fldCharType="begin"/>
      </w:r>
      <w:r>
        <w:rPr>
          <w:rFonts w:hint="default"/>
          <w:b w:val="0"/>
          <w:bCs w:val="0"/>
          <w:color w:val="000000" w:themeColor="text1"/>
          <w:sz w:val="22"/>
          <w:szCs w:val="22"/>
          <w:u w:val="none"/>
          <w:lang w:val="en-US"/>
          <w14:textFill>
            <w14:solidFill>
              <w14:schemeClr w14:val="tx1"/>
            </w14:solidFill>
          </w14:textFill>
        </w:rPr>
        <w:instrText xml:space="preserve"> HYPERLINK "https://github.com/sumaiya-tasnim-18/Data-Visualization-Trainee-Intern" </w:instrText>
      </w:r>
      <w:r>
        <w:rPr>
          <w:rFonts w:hint="default"/>
          <w:b w:val="0"/>
          <w:bCs w:val="0"/>
          <w:color w:val="000000" w:themeColor="text1"/>
          <w:sz w:val="22"/>
          <w:szCs w:val="22"/>
          <w:u w:val="none"/>
          <w:lang w:val="en-US"/>
          <w14:textFill>
            <w14:solidFill>
              <w14:schemeClr w14:val="tx1"/>
            </w14:solidFill>
          </w14:textFill>
        </w:rPr>
        <w:fldChar w:fldCharType="separate"/>
      </w:r>
      <w:r>
        <w:rPr>
          <w:rStyle w:val="8"/>
          <w:rFonts w:hint="default"/>
          <w:b w:val="0"/>
          <w:bCs w:val="0"/>
          <w:sz w:val="22"/>
          <w:szCs w:val="22"/>
          <w:lang w:val="en-US"/>
        </w:rPr>
        <w:t>https://github.com/sumaiya-tasnim-18/Data-Visualization-Trainee-Intern</w:t>
      </w:r>
      <w:r>
        <w:rPr>
          <w:rFonts w:hint="default"/>
          <w:b w:val="0"/>
          <w:bCs w:val="0"/>
          <w:color w:val="000000" w:themeColor="text1"/>
          <w:sz w:val="22"/>
          <w:szCs w:val="22"/>
          <w:u w:val="none"/>
          <w:lang w:val="en-US"/>
          <w14:textFill>
            <w14:solidFill>
              <w14:schemeClr w14:val="tx1"/>
            </w14:solidFill>
          </w14:textFill>
        </w:rPr>
        <w:fldChar w:fldCharType="end"/>
      </w:r>
    </w:p>
    <w:p w14:paraId="29EDD7CC">
      <w:pPr>
        <w:numPr>
          <w:ilvl w:val="0"/>
          <w:numId w:val="0"/>
        </w:numPr>
        <w:ind w:leftChars="0"/>
        <w:rPr>
          <w:rFonts w:hint="default"/>
          <w:b/>
          <w:bCs/>
          <w:color w:val="C55A11" w:themeColor="accent2" w:themeShade="BF"/>
          <w:sz w:val="32"/>
          <w:szCs w:val="32"/>
          <w:lang w:val="en-US"/>
        </w:rPr>
      </w:pPr>
      <w:r>
        <w:rPr>
          <w:rFonts w:hint="default"/>
          <w:b w:val="0"/>
          <w:bCs w:val="0"/>
          <w:i/>
          <w:iCs/>
          <w:color w:val="767171" w:themeColor="background2" w:themeShade="80"/>
          <w:sz w:val="20"/>
          <w:szCs w:val="20"/>
          <w:u w:val="none"/>
          <w:lang w:val="en-US"/>
        </w:rPr>
        <w:t>Check there (Folder:Week-2  →  “EDA_of_joined_Dataset.ipynb”. Also there is available → the joined dataset &amp; dashboard → .pbix file of Power BI)</w:t>
      </w:r>
    </w:p>
    <w:p w14:paraId="69C407C2">
      <w:pPr>
        <w:rPr>
          <w:rFonts w:hint="default"/>
          <w:b/>
          <w:bCs/>
          <w:color w:val="C55A11" w:themeColor="accent2" w:themeShade="BF"/>
          <w:sz w:val="32"/>
          <w:szCs w:val="32"/>
          <w:lang w:val="en-US"/>
        </w:rPr>
      </w:pPr>
    </w:p>
    <w:p w14:paraId="13CDFFFC">
      <w:pPr>
        <w:jc w:val="center"/>
        <w:rPr>
          <w:rFonts w:hint="default"/>
          <w:b/>
          <w:bCs/>
          <w:color w:val="C55A11" w:themeColor="accent2" w:themeShade="BF"/>
          <w:sz w:val="32"/>
          <w:szCs w:val="32"/>
          <w:lang w:val="en-US"/>
        </w:rPr>
      </w:pPr>
      <w:r>
        <w:rPr>
          <w:rFonts w:hint="default"/>
          <w:b/>
          <w:bCs/>
          <w:color w:val="C55A11" w:themeColor="accent2" w:themeShade="BF"/>
          <w:sz w:val="32"/>
          <w:szCs w:val="32"/>
          <w:lang w:val="en-US"/>
        </w:rPr>
        <w:t>Planning of Dashboard Creation in Power BI</w:t>
      </w:r>
    </w:p>
    <w:p w14:paraId="78298643">
      <w:pPr>
        <w:rPr>
          <w:rFonts w:hint="default"/>
          <w:b w:val="0"/>
          <w:bCs w:val="0"/>
          <w:color w:val="000000" w:themeColor="text1"/>
          <w:sz w:val="20"/>
          <w:szCs w:val="20"/>
          <w:lang w:val="en-US"/>
          <w14:textFill>
            <w14:solidFill>
              <w14:schemeClr w14:val="tx1"/>
            </w14:solidFill>
          </w14:textFill>
        </w:rPr>
      </w:pPr>
    </w:p>
    <w:p w14:paraId="62BD3225">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The planning phase for the Outreach Campaign Performance Dashboard focused on defining key business objectives, identifying critical metrics, and selecting the appropriate visualizations and filters to enable actionable insights for operational and strategic decision-making.</w:t>
      </w:r>
    </w:p>
    <w:p w14:paraId="35E71E0D">
      <w:pPr>
        <w:rPr>
          <w:rFonts w:hint="default"/>
          <w:b w:val="0"/>
          <w:bCs w:val="0"/>
          <w:color w:val="000000" w:themeColor="text1"/>
          <w:sz w:val="20"/>
          <w:szCs w:val="20"/>
          <w:lang w:val="en-US"/>
          <w14:textFill>
            <w14:solidFill>
              <w14:schemeClr w14:val="tx1"/>
            </w14:solidFill>
          </w14:textFill>
        </w:rPr>
      </w:pPr>
    </w:p>
    <w:p w14:paraId="3F4D69D1">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At first, We started with DAX formulas creation, that which are needful for our dashboard creation.</w:t>
      </w:r>
    </w:p>
    <w:p w14:paraId="301D4532">
      <w:pPr>
        <w:rPr>
          <w:rFonts w:hint="default"/>
          <w:b w:val="0"/>
          <w:bCs w:val="0"/>
          <w:color w:val="000000" w:themeColor="text1"/>
          <w:sz w:val="20"/>
          <w:szCs w:val="20"/>
          <w:lang w:val="en-US"/>
          <w14:textFill>
            <w14:solidFill>
              <w14:schemeClr w14:val="tx1"/>
            </w14:solidFill>
          </w14:textFill>
        </w:rPr>
      </w:pPr>
    </w:p>
    <w:p w14:paraId="737F6124">
      <w:pPr>
        <w:rPr>
          <w:rFonts w:hint="default"/>
          <w:b/>
          <w:bCs/>
          <w:color w:val="159594"/>
          <w:sz w:val="22"/>
          <w:szCs w:val="22"/>
          <w:lang w:val="en-US"/>
        </w:rPr>
      </w:pPr>
      <w:r>
        <w:rPr>
          <w:rFonts w:hint="default"/>
          <w:b/>
          <w:bCs/>
          <w:color w:val="159594"/>
          <w:sz w:val="22"/>
          <w:szCs w:val="22"/>
          <w:lang w:val="en-US"/>
        </w:rPr>
        <w:t>DAX Formulas were created:</w:t>
      </w:r>
    </w:p>
    <w:p w14:paraId="3E94B019">
      <w:pPr>
        <w:rPr>
          <w:rFonts w:hint="default"/>
          <w:b w:val="0"/>
          <w:bCs w:val="0"/>
          <w:color w:val="000000" w:themeColor="text1"/>
          <w:sz w:val="20"/>
          <w:szCs w:val="20"/>
          <w:lang w:val="en-US"/>
          <w14:textFill>
            <w14:solidFill>
              <w14:schemeClr w14:val="tx1"/>
            </w14:solidFill>
          </w14:textFill>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8"/>
        <w:gridCol w:w="7458"/>
      </w:tblGrid>
      <w:tr w14:paraId="1DB63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51DCD92">
            <w:pPr>
              <w:rPr>
                <w:rFonts w:hint="default"/>
                <w:b/>
                <w:bCs/>
                <w:color w:val="000000" w:themeColor="text1"/>
                <w:sz w:val="18"/>
                <w:szCs w:val="18"/>
                <w:lang w:val="en-US"/>
                <w14:textFill>
                  <w14:solidFill>
                    <w14:schemeClr w14:val="tx1"/>
                  </w14:solidFill>
                </w14:textFill>
              </w:rPr>
            </w:pPr>
            <w:r>
              <w:rPr>
                <w:rFonts w:hint="default"/>
                <w:b/>
                <w:bCs/>
                <w:color w:val="000000" w:themeColor="text1"/>
                <w:sz w:val="18"/>
                <w:szCs w:val="18"/>
                <w:lang w:val="en-US" w:eastAsia="zh-CN"/>
                <w14:textFill>
                  <w14:solidFill>
                    <w14:schemeClr w14:val="tx1"/>
                  </w14:solidFill>
                </w14:textFill>
              </w:rPr>
              <w:t>Column Created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9EB76F">
            <w:pPr>
              <w:rPr>
                <w:rFonts w:hint="default"/>
                <w:b/>
                <w:bCs/>
                <w:color w:val="000000" w:themeColor="text1"/>
                <w:sz w:val="18"/>
                <w:szCs w:val="18"/>
                <w:lang w:val="en-US"/>
                <w14:textFill>
                  <w14:solidFill>
                    <w14:schemeClr w14:val="tx1"/>
                  </w14:solidFill>
                </w14:textFill>
              </w:rPr>
            </w:pPr>
            <w:r>
              <w:rPr>
                <w:rFonts w:hint="default"/>
                <w:b/>
                <w:bCs/>
                <w:color w:val="000000" w:themeColor="text1"/>
                <w:sz w:val="18"/>
                <w:szCs w:val="18"/>
                <w:lang w:val="en-US" w:eastAsia="zh-CN"/>
                <w14:textFill>
                  <w14:solidFill>
                    <w14:schemeClr w14:val="tx1"/>
                  </w14:solidFill>
                </w14:textFill>
              </w:rPr>
              <w:t>DAX Formula</w:t>
            </w:r>
          </w:p>
        </w:tc>
      </w:tr>
      <w:tr w14:paraId="26C41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FE35F3">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Total Outreach Attempts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487EEC">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Total Outreach Attempts = COUNTROWS('Cleaned_Outreach_Campaign_Applicants_FinalData')</w:t>
            </w:r>
          </w:p>
        </w:tc>
      </w:tr>
      <w:tr w14:paraId="5E47D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CDFB32">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Response Rate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86A7C8">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Response Rate (%) = DIVIDE(CALCULATE(COUNTROWS(FILTER('Cleaned_Outreach_Campaign_Applicants_FinalData', 'Cleaned_Outreach_Campaign_Applicants_FinalData'[Is_Response] = 1))), COUNTROWS('Cleaned_Outreach_Campaign_Applicants_FinalData'), 0) * 100</w:t>
            </w:r>
          </w:p>
        </w:tc>
      </w:tr>
      <w:tr w14:paraId="428AF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B7A9EC">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Conversion Rate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CE1D8E">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Conversion Rate (%) = DIVIDE(CALCULATE(COUNTROWS(FILTER('Cleaned_Outreach_Campaign_Applicants_FinalData', 'Cleaned_Outreach_Campaign_Applicants_FinalData'[Is_Converted] = 1))), COUNTROWS(FILTER('Cleaned_Outreach_Campaign_Applicants_FinalData', 'Cleaned_Outreach_Campaign_Applicants_FinalData'[Is_Response] = 1)), 0) * 100</w:t>
            </w:r>
          </w:p>
        </w:tc>
      </w:tr>
      <w:tr w14:paraId="213DB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4BC7FD">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Average Attempts per Response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118668">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Average Attempts per Response = DIVIDE([Total Outreach Attempts], CALCULATE(COUNTROWS(FILTER('Cleaned_Outreach_Campaign_Applicants_FinalData', 'Cleaned_Outreach_Campaign_Applicants_FinalData'[Is_Response] = 1))), 0)</w:t>
            </w:r>
          </w:p>
        </w:tc>
      </w:tr>
      <w:tr w14:paraId="5A4FD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CE0841">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Escalation Rate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385AB8">
            <w:pPr>
              <w:rPr>
                <w:rFonts w:hint="default"/>
                <w:b w:val="0"/>
                <w:bCs w:val="0"/>
                <w:color w:val="000000" w:themeColor="text1"/>
                <w:sz w:val="18"/>
                <w:szCs w:val="18"/>
                <w:lang w:val="en-US"/>
                <w14:textFill>
                  <w14:solidFill>
                    <w14:schemeClr w14:val="tx1"/>
                  </w14:solidFill>
                </w14:textFill>
              </w:rPr>
            </w:pPr>
            <w:r>
              <w:rPr>
                <w:rFonts w:hint="default"/>
                <w:b w:val="0"/>
                <w:bCs w:val="0"/>
                <w:color w:val="000000" w:themeColor="text1"/>
                <w:sz w:val="18"/>
                <w:szCs w:val="18"/>
                <w:lang w:val="en-US" w:eastAsia="zh-CN"/>
                <w14:textFill>
                  <w14:solidFill>
                    <w14:schemeClr w14:val="tx1"/>
                  </w14:solidFill>
                </w14:textFill>
              </w:rPr>
              <w:t>Escalation Rate (%) = DIVIDE(CALCULATE(COUNTROWS(FILTER('Cleaned_Outreach_Campaign_Applicants_FinalData', 'Cleaned_Outreach_Campaign_Applicants_FinalData'[Escalation_Required] = "Yes"))), [Total Outreach Attempts], 0) * 100</w:t>
            </w:r>
          </w:p>
        </w:tc>
      </w:tr>
    </w:tbl>
    <w:p w14:paraId="03501118">
      <w:pPr>
        <w:jc w:val="left"/>
        <w:rPr>
          <w:rFonts w:hint="default"/>
          <w:b/>
          <w:bCs/>
          <w:color w:val="159594"/>
          <w:sz w:val="24"/>
          <w:szCs w:val="24"/>
          <w:lang w:val="en-US"/>
        </w:rPr>
      </w:pPr>
    </w:p>
    <w:p w14:paraId="33D852DB">
      <w:pPr>
        <w:jc w:val="left"/>
        <w:rPr>
          <w:rFonts w:hint="default"/>
          <w:b w:val="0"/>
          <w:bCs w:val="0"/>
          <w:color w:val="000000" w:themeColor="text1"/>
          <w:sz w:val="20"/>
          <w:szCs w:val="20"/>
          <w:lang w:val="en-US"/>
          <w14:textFill>
            <w14:solidFill>
              <w14:schemeClr w14:val="tx1"/>
            </w14:solidFill>
          </w14:textFill>
        </w:rPr>
      </w:pPr>
      <w:r>
        <w:rPr>
          <w:rFonts w:hint="default"/>
          <w:b/>
          <w:bCs/>
          <w:color w:val="159594"/>
          <w:sz w:val="24"/>
          <w:szCs w:val="24"/>
          <w:lang w:val="en-US"/>
        </w:rPr>
        <w:t>Final Dashboard of Outreach Campaign Performance Tracker:</w:t>
      </w:r>
    </w:p>
    <w:p w14:paraId="6738B659">
      <w:pPr>
        <w:rPr>
          <w:rFonts w:hint="default"/>
          <w:b w:val="0"/>
          <w:bCs w:val="0"/>
          <w:color w:val="000000" w:themeColor="text1"/>
          <w:sz w:val="20"/>
          <w:szCs w:val="20"/>
          <w:lang w:val="en-US"/>
          <w14:textFill>
            <w14:solidFill>
              <w14:schemeClr w14:val="tx1"/>
            </w14:solidFill>
          </w14:textFill>
        </w:rPr>
      </w:pPr>
    </w:p>
    <w:p w14:paraId="595F8590">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bdr w:val="single" w:sz="4" w:space="0"/>
          <w:lang w:val="en-US"/>
          <w14:textFill>
            <w14:solidFill>
              <w14:schemeClr w14:val="tx1"/>
            </w14:solidFill>
          </w14:textFill>
        </w:rPr>
        <w:drawing>
          <wp:inline distT="0" distB="0" distL="114300" distR="114300">
            <wp:extent cx="5663565" cy="3059430"/>
            <wp:effectExtent l="0" t="0" r="3175" b="7620"/>
            <wp:docPr id="14" name="Picture 14" descr="Dashboard pre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ashboard preview (image)"/>
                    <pic:cNvPicPr>
                      <a:picLocks noChangeAspect="1"/>
                    </pic:cNvPicPr>
                  </pic:nvPicPr>
                  <pic:blipFill>
                    <a:blip r:embed="rId30"/>
                    <a:stretch>
                      <a:fillRect/>
                    </a:stretch>
                  </pic:blipFill>
                  <pic:spPr>
                    <a:xfrm>
                      <a:off x="0" y="0"/>
                      <a:ext cx="5663565" cy="3059430"/>
                    </a:xfrm>
                    <a:prstGeom prst="rect">
                      <a:avLst/>
                    </a:prstGeom>
                  </pic:spPr>
                </pic:pic>
              </a:graphicData>
            </a:graphic>
          </wp:inline>
        </w:drawing>
      </w:r>
    </w:p>
    <w:p w14:paraId="4B80F500">
      <w:pPr>
        <w:rPr>
          <w:rFonts w:hint="default"/>
          <w:b w:val="0"/>
          <w:bCs w:val="0"/>
          <w:color w:val="000000" w:themeColor="text1"/>
          <w:sz w:val="20"/>
          <w:szCs w:val="20"/>
          <w:lang w:val="en-US"/>
          <w14:textFill>
            <w14:solidFill>
              <w14:schemeClr w14:val="tx1"/>
            </w14:solidFill>
          </w14:textFill>
        </w:rPr>
      </w:pPr>
    </w:p>
    <w:p w14:paraId="3168D673">
      <w:pPr>
        <w:rPr>
          <w:rFonts w:hint="default"/>
          <w:b/>
          <w:bCs/>
          <w:color w:val="159594"/>
          <w:sz w:val="22"/>
          <w:szCs w:val="22"/>
          <w:lang w:val="en-US"/>
        </w:rPr>
      </w:pPr>
      <w:r>
        <w:rPr>
          <w:rFonts w:hint="default"/>
          <w:b/>
          <w:bCs/>
          <w:color w:val="159594"/>
          <w:sz w:val="22"/>
          <w:szCs w:val="22"/>
          <w:lang w:val="en-US"/>
        </w:rPr>
        <w:t>Dashboard KPIs Summary:</w:t>
      </w:r>
    </w:p>
    <w:p w14:paraId="13C306B2">
      <w:pPr>
        <w:rPr>
          <w:rFonts w:hint="default"/>
          <w:b w:val="0"/>
          <w:bCs w:val="0"/>
          <w:color w:val="000000" w:themeColor="text1"/>
          <w:sz w:val="20"/>
          <w:szCs w:val="20"/>
          <w:lang w:val="en-US"/>
          <w14:textFill>
            <w14:solidFill>
              <w14:schemeClr w14:val="tx1"/>
            </w14:solidFill>
          </w14:textFill>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3"/>
        <w:gridCol w:w="6153"/>
      </w:tblGrid>
      <w:tr w14:paraId="1B30A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7E7523DC">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KPI Title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B4D211">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Why It’s Important</w:t>
            </w:r>
          </w:p>
        </w:tc>
      </w:tr>
      <w:tr w14:paraId="13ACF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68F7AE">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Total Outreach Attempts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F6FFA6">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Measures total effort and scale of outreach campaigns; helps monitor operational load.</w:t>
            </w:r>
          </w:p>
        </w:tc>
      </w:tr>
      <w:tr w14:paraId="7862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3CC41A">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Response Rate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0F0B20">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Evaluates effectiveness of outreach; indicates quality of targeting and messaging.</w:t>
            </w:r>
          </w:p>
        </w:tc>
      </w:tr>
      <w:tr w14:paraId="679FC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8B635D">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Conversion Rate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7FC45C">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Measures campaign success in achieving final objectives; validates end-to-end process efficiency.</w:t>
            </w:r>
          </w:p>
        </w:tc>
      </w:tr>
      <w:tr w14:paraId="585BD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455865">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Average Attempts per Response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2BFDD8">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Highlights efficiency of contact process; identifies potential operational waste.</w:t>
            </w:r>
          </w:p>
        </w:tc>
      </w:tr>
      <w:tr w14:paraId="03EAD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FD2846">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Escalation Rate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BA373B">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Indicates complexity of cases; helps plan management support and assess process bottlenecks.</w:t>
            </w:r>
          </w:p>
        </w:tc>
      </w:tr>
    </w:tbl>
    <w:p w14:paraId="793ECA89">
      <w:pPr>
        <w:rPr>
          <w:rFonts w:hint="default"/>
          <w:b w:val="0"/>
          <w:bCs w:val="0"/>
          <w:color w:val="000000" w:themeColor="text1"/>
          <w:sz w:val="20"/>
          <w:szCs w:val="20"/>
          <w:lang w:val="en-US"/>
          <w14:textFill>
            <w14:solidFill>
              <w14:schemeClr w14:val="tx1"/>
            </w14:solidFill>
          </w14:textFill>
        </w:rPr>
      </w:pPr>
    </w:p>
    <w:p w14:paraId="623BEAD5">
      <w:pPr>
        <w:rPr>
          <w:rFonts w:hint="default"/>
          <w:b/>
          <w:bCs/>
          <w:color w:val="159594"/>
          <w:sz w:val="22"/>
          <w:szCs w:val="22"/>
          <w:lang w:val="en-US"/>
        </w:rPr>
      </w:pPr>
      <w:r>
        <w:rPr>
          <w:rFonts w:hint="default"/>
          <w:b/>
          <w:bCs/>
          <w:color w:val="159594"/>
          <w:sz w:val="22"/>
          <w:szCs w:val="22"/>
          <w:lang w:val="en-US"/>
        </w:rPr>
        <w:t>Dashboard Visualization Summary:</w:t>
      </w:r>
    </w:p>
    <w:p w14:paraId="07374638">
      <w:pPr>
        <w:rPr>
          <w:rFonts w:hint="default"/>
          <w:b w:val="0"/>
          <w:bCs w:val="0"/>
          <w:color w:val="000000" w:themeColor="text1"/>
          <w:sz w:val="20"/>
          <w:szCs w:val="20"/>
          <w:lang w:val="en-US"/>
          <w14:textFill>
            <w14:solidFill>
              <w14:schemeClr w14:val="tx1"/>
            </w14:solidFill>
          </w14:textFill>
        </w:rPr>
      </w:pPr>
    </w:p>
    <w:tbl>
      <w:tblPr>
        <w:tblStyle w:val="5"/>
        <w:tblW w:w="818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5"/>
        <w:gridCol w:w="1041"/>
        <w:gridCol w:w="2140"/>
        <w:gridCol w:w="2940"/>
      </w:tblGrid>
      <w:tr w14:paraId="205DF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1E98A54F">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Visualization Title</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29FEF32D">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Chart Type</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020CED2">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Columns Used</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72BEC22A">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Why It’s Important</w:t>
            </w:r>
          </w:p>
        </w:tc>
      </w:tr>
      <w:tr w14:paraId="3E953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154EE6">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Monthly Outreach vs. Response Rate</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226278DE">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Line &amp; Stacked Column Chart</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6A084D04">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Month, Total Outreach Attempts, Response Rate</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3465E061">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Identifies high/low activity months and helps plan staffing/resources.</w:t>
            </w:r>
          </w:p>
        </w:tc>
      </w:tr>
      <w:tr w14:paraId="10892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B2DC79">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Top Countries by Response Rate</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5FC84AF5">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Clustered Bar Chart</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20DF539B">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Country, Response Rate</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68079806">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Guides geographic targeting and resource allocation for maximum ROI.</w:t>
            </w:r>
          </w:p>
        </w:tc>
      </w:tr>
      <w:tr w14:paraId="09E05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1D3D03">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Response Rate (%) by Category</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6D081C07">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Donut Chart</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0AB1629C">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Category, Response Rate</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549B9735">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Helps prioritize campaign types based on effectiveness.</w:t>
            </w:r>
          </w:p>
        </w:tc>
      </w:tr>
      <w:tr w14:paraId="4F65D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070819">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Weekly Outreach Volume &amp; Response Rate by Caller</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53461B6B">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Line &amp; Clustered Column Chart</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7D2797A0">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Week, Caller/Agent, Total Outreach Attempts, Response Rate</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2A7AA919">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Measures individual staff performance and weekly efficiency.</w:t>
            </w:r>
          </w:p>
        </w:tc>
      </w:tr>
      <w:tr w14:paraId="569A3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F570A1">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Conversion Rate by Escalation Requirement</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0A4D0093">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Clustered Column Chart</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4436A79B">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Escalation_Required, Is_Converted</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1D4070DF">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Confirms process efficiency; escalations do not hinder conversions.</w:t>
            </w:r>
          </w:p>
        </w:tc>
      </w:tr>
      <w:tr w14:paraId="6C807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CDC493">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Peak Hourly Engagement Trend</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402B1439">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Line Chart</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5FB551B8">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Hour, Response Rate</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4FB44DAB">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Optimizes outreach timing and staff scheduling for maximum engagement.</w:t>
            </w:r>
          </w:p>
        </w:tc>
      </w:tr>
      <w:tr w14:paraId="677B5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3F46CA">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Outreach Attempts over Time by Category</w:t>
            </w: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27F472B5">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Area Chart</w:t>
            </w:r>
          </w:p>
        </w:tc>
        <w:tc>
          <w:tcPr>
            <w:tcW w:w="2110" w:type="dxa"/>
            <w:tcBorders>
              <w:top w:val="single" w:color="auto" w:sz="4" w:space="0"/>
              <w:left w:val="single" w:color="auto" w:sz="4" w:space="0"/>
              <w:bottom w:val="single" w:color="auto" w:sz="4" w:space="0"/>
              <w:right w:val="single" w:color="auto" w:sz="4" w:space="0"/>
            </w:tcBorders>
            <w:shd w:val="clear" w:color="auto" w:fill="auto"/>
            <w:vAlign w:val="center"/>
          </w:tcPr>
          <w:p w14:paraId="1FD6109E">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Weekday, Category, Total Outreach Attempts</w:t>
            </w:r>
          </w:p>
        </w:tc>
        <w:tc>
          <w:tcPr>
            <w:tcW w:w="2895" w:type="dxa"/>
            <w:tcBorders>
              <w:top w:val="single" w:color="auto" w:sz="4" w:space="0"/>
              <w:left w:val="single" w:color="auto" w:sz="4" w:space="0"/>
              <w:bottom w:val="single" w:color="auto" w:sz="4" w:space="0"/>
              <w:right w:val="single" w:color="auto" w:sz="4" w:space="0"/>
            </w:tcBorders>
            <w:shd w:val="clear" w:color="auto" w:fill="auto"/>
            <w:vAlign w:val="center"/>
          </w:tcPr>
          <w:p w14:paraId="5B77C1E5">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Helps identify which campaigns dominate over time and optimize follow-up strategy.</w:t>
            </w:r>
          </w:p>
        </w:tc>
      </w:tr>
    </w:tbl>
    <w:p w14:paraId="761470E0">
      <w:pPr>
        <w:rPr>
          <w:rFonts w:hint="default"/>
          <w:b/>
          <w:bCs/>
          <w:color w:val="159594"/>
          <w:sz w:val="22"/>
          <w:szCs w:val="22"/>
          <w:lang w:val="en-US"/>
        </w:rPr>
      </w:pPr>
    </w:p>
    <w:p w14:paraId="517D7DF7">
      <w:pPr>
        <w:rPr>
          <w:rFonts w:hint="default"/>
          <w:b w:val="0"/>
          <w:bCs w:val="0"/>
          <w:color w:val="000000" w:themeColor="text1"/>
          <w:sz w:val="20"/>
          <w:szCs w:val="20"/>
          <w:lang w:val="en-US"/>
          <w14:textFill>
            <w14:solidFill>
              <w14:schemeClr w14:val="tx1"/>
            </w14:solidFill>
          </w14:textFill>
        </w:rPr>
      </w:pPr>
      <w:r>
        <w:rPr>
          <w:rFonts w:hint="default"/>
          <w:b/>
          <w:bCs/>
          <w:color w:val="159594"/>
          <w:sz w:val="22"/>
          <w:szCs w:val="22"/>
          <w:lang w:val="en-US"/>
        </w:rPr>
        <w:t>Dashboard Filters Summary:</w:t>
      </w:r>
    </w:p>
    <w:p w14:paraId="1AF1C563">
      <w:pPr>
        <w:rPr>
          <w:rFonts w:hint="default"/>
          <w:b w:val="0"/>
          <w:bCs w:val="0"/>
          <w:color w:val="000000" w:themeColor="text1"/>
          <w:sz w:val="20"/>
          <w:szCs w:val="20"/>
          <w:lang w:val="en-US"/>
          <w14:textFill>
            <w14:solidFill>
              <w14:schemeClr w14:val="tx1"/>
            </w14:solidFill>
          </w14:textFill>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1"/>
        <w:gridCol w:w="6825"/>
      </w:tblGrid>
      <w:tr w14:paraId="372D1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4A9CF9C">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Filter Title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ACA1A2">
            <w:pP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eastAsia="zh-CN"/>
                <w14:textFill>
                  <w14:solidFill>
                    <w14:schemeClr w14:val="tx1"/>
                  </w14:solidFill>
                </w14:textFill>
              </w:rPr>
              <w:t>Why It’s Important</w:t>
            </w:r>
          </w:p>
        </w:tc>
      </w:tr>
      <w:tr w14:paraId="1B85C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7E1D26">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Month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A75DB">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Enables temporal analysis to identify peak periods, seasonality, and plan resource allocation.</w:t>
            </w:r>
          </w:p>
        </w:tc>
      </w:tr>
      <w:tr w14:paraId="6502B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07B76C">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Country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62284D">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Supports geographic targeting, market efficiency, and segmentation of outreach strategy.</w:t>
            </w:r>
          </w:p>
        </w:tc>
      </w:tr>
      <w:tr w14:paraId="7009B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185493">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Campaign Category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2D36B9">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Helps compare effectiveness of different campaign types and optimize messaging per stage.</w:t>
            </w:r>
          </w:p>
        </w:tc>
      </w:tr>
      <w:tr w14:paraId="122C8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F500FF">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Campaign 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0CF4AC">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Allows drilling into individual campaigns for benchmarking and actionable insights.</w:t>
            </w:r>
          </w:p>
        </w:tc>
      </w:tr>
    </w:tbl>
    <w:p w14:paraId="75B1895A">
      <w:pPr>
        <w:rPr>
          <w:rFonts w:hint="default"/>
          <w:b/>
          <w:bCs/>
          <w:color w:val="2F5597" w:themeColor="accent5" w:themeShade="BF"/>
          <w:sz w:val="22"/>
          <w:szCs w:val="22"/>
          <w:lang w:val="en-US"/>
        </w:rPr>
      </w:pPr>
      <w:r>
        <w:rPr>
          <w:rFonts w:hint="default"/>
          <w:b/>
          <w:bCs/>
          <w:color w:val="2F5597" w:themeColor="accent5" w:themeShade="BF"/>
          <w:sz w:val="22"/>
          <w:szCs w:val="22"/>
          <w:lang w:val="en-US"/>
        </w:rPr>
        <w:t>Conclusion:</w:t>
      </w:r>
    </w:p>
    <w:p w14:paraId="414C71B9">
      <w:pPr>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eastAsia="zh-CN"/>
          <w14:textFill>
            <w14:solidFill>
              <w14:schemeClr w14:val="tx1"/>
            </w14:solidFill>
          </w14:textFill>
        </w:rPr>
        <w:t>In Week 2, we represented a smooth transition from data preparation to insight generation. Meaningful trends in the outreach campaign dataset were discovered through comprehensive exploratory data analysis and the building of KPI-driven dashboards. The visualizations effectively emphasized performance trends across categories, time periods, and geographies, allowing for a better understanding of engagement efficiency and conversion behavior. This level not only improved analytical and visualisation skills, but also highlighted the need of transforming data into actionable insights. The built dashboard serves as a solid foundation for data-driven decision-making, resulting in improved outreach initiatives and operational effectiveness. It sets the foundation for Week 3, in which strategic advice and presentation design will improve the data's storytelling.</w:t>
      </w:r>
    </w:p>
    <w:p w14:paraId="3F49FF7A">
      <w:pPr>
        <w:rPr>
          <w:rFonts w:hint="default"/>
          <w:b w:val="0"/>
          <w:bCs w:val="0"/>
          <w:color w:val="000000" w:themeColor="text1"/>
          <w:sz w:val="20"/>
          <w:szCs w:val="20"/>
          <w:lang w:val="en-US"/>
          <w14:textFill>
            <w14:solidFill>
              <w14:schemeClr w14:val="tx1"/>
            </w14:solidFill>
          </w14:textFill>
        </w:rPr>
      </w:pPr>
    </w:p>
    <w:p w14:paraId="79B229DA">
      <w:pPr>
        <w:rPr>
          <w:rFonts w:hint="default"/>
          <w:b/>
          <w:bCs/>
          <w:color w:val="2F5597" w:themeColor="accent5" w:themeShade="BF"/>
          <w:sz w:val="22"/>
          <w:szCs w:val="22"/>
          <w:u w:val="single"/>
          <w:lang w:val="en-US"/>
        </w:rPr>
      </w:pPr>
      <w:r>
        <w:rPr>
          <w:rFonts w:hint="default"/>
          <w:b/>
          <w:bCs/>
          <w:color w:val="2F5597" w:themeColor="accent5" w:themeShade="BF"/>
          <w:sz w:val="22"/>
          <w:szCs w:val="22"/>
          <w:u w:val="single"/>
          <w:lang w:val="en-US"/>
        </w:rPr>
        <w:t>Next Steps for Week-3:</w:t>
      </w:r>
    </w:p>
    <w:p w14:paraId="1FE4BE76">
      <w:pPr>
        <w:numPr>
          <w:ilvl w:val="0"/>
          <w:numId w:val="0"/>
        </w:numPr>
        <w:ind w:leftChars="0"/>
        <w:rPr>
          <w:rFonts w:hint="default"/>
          <w:b w:val="0"/>
          <w:bCs w:val="0"/>
          <w:color w:val="000000" w:themeColor="text1"/>
          <w:sz w:val="20"/>
          <w:szCs w:val="20"/>
          <w:lang w:val="en-US"/>
          <w14:textFill>
            <w14:solidFill>
              <w14:schemeClr w14:val="tx1"/>
            </w14:solidFill>
          </w14:textFill>
        </w:rPr>
      </w:pPr>
    </w:p>
    <w:p w14:paraId="3A4C3441">
      <w:pPr>
        <w:numPr>
          <w:ilvl w:val="0"/>
          <w:numId w:val="12"/>
        </w:numPr>
        <w:tabs>
          <w:tab w:val="clear" w:pos="425"/>
        </w:tabs>
        <w:ind w:left="420" w:leftChars="0" w:hanging="420" w:firstLineChars="0"/>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We’ll review key insights and trends from Week-2’s EDA and dashboard analysis.</w:t>
      </w:r>
    </w:p>
    <w:p w14:paraId="4D5F430B">
      <w:pPr>
        <w:numPr>
          <w:ilvl w:val="0"/>
          <w:numId w:val="12"/>
        </w:numPr>
        <w:ind w:left="420" w:leftChars="0" w:hanging="420" w:firstLineChars="0"/>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We’ll create 3–4 actionable, data-driven recommendations for outreach and enrollment goals.</w:t>
      </w:r>
    </w:p>
    <w:p w14:paraId="32835D46">
      <w:pPr>
        <w:numPr>
          <w:ilvl w:val="0"/>
          <w:numId w:val="12"/>
        </w:numPr>
        <w:ind w:left="420" w:leftChars="0" w:hanging="420" w:firstLineChars="0"/>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We’ll design a 6–8 slide deck with clear visuals, concise text, and a “Next Steps” section.</w:t>
      </w:r>
    </w:p>
    <w:p w14:paraId="4AB42B23">
      <w:pPr>
        <w:numPr>
          <w:ilvl w:val="0"/>
          <w:numId w:val="12"/>
        </w:numPr>
        <w:ind w:left="420" w:leftChars="0" w:hanging="420" w:firstLineChars="0"/>
        <w:rPr>
          <w:rFonts w:hint="default"/>
          <w:b w:val="0"/>
          <w:bCs w:val="0"/>
          <w:color w:val="000000" w:themeColor="text1"/>
          <w:sz w:val="20"/>
          <w:szCs w:val="20"/>
          <w:lang w:val="en-US"/>
          <w14:textFill>
            <w14:solidFill>
              <w14:schemeClr w14:val="tx1"/>
            </w14:solidFill>
          </w14:textFill>
        </w:rPr>
      </w:pPr>
      <w:r>
        <w:rPr>
          <w:rFonts w:hint="default"/>
          <w:b w:val="0"/>
          <w:bCs w:val="0"/>
          <w:color w:val="000000" w:themeColor="text1"/>
          <w:sz w:val="20"/>
          <w:szCs w:val="20"/>
          <w:lang w:val="en-US"/>
          <w14:textFill>
            <w14:solidFill>
              <w14:schemeClr w14:val="tx1"/>
            </w14:solidFill>
          </w14:textFill>
        </w:rPr>
        <w:t>We’ll finalize the presentation professionally and prepare to deliver a confident, data-backed briefing.</w:t>
      </w:r>
    </w:p>
    <w:p w14:paraId="3D2E6EA7">
      <w:pPr>
        <w:numPr>
          <w:ilvl w:val="0"/>
          <w:numId w:val="0"/>
        </w:numPr>
        <w:ind w:leftChars="0"/>
        <w:rPr>
          <w:rFonts w:hint="default"/>
          <w:b w:val="0"/>
          <w:bCs w:val="0"/>
          <w:color w:val="000000" w:themeColor="text1"/>
          <w:sz w:val="20"/>
          <w:szCs w:val="20"/>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42442"/>
    <w:multiLevelType w:val="singleLevel"/>
    <w:tmpl w:val="833424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4CC57F2"/>
    <w:multiLevelType w:val="singleLevel"/>
    <w:tmpl w:val="84CC57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88E88E9"/>
    <w:multiLevelType w:val="singleLevel"/>
    <w:tmpl w:val="A88E88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9D21ED7"/>
    <w:multiLevelType w:val="singleLevel"/>
    <w:tmpl w:val="C9D21ED7"/>
    <w:lvl w:ilvl="0" w:tentative="0">
      <w:start w:val="4"/>
      <w:numFmt w:val="decimal"/>
      <w:suff w:val="space"/>
      <w:lvlText w:val="%1."/>
      <w:lvlJc w:val="left"/>
    </w:lvl>
  </w:abstractNum>
  <w:abstractNum w:abstractNumId="4">
    <w:nsid w:val="EB33E744"/>
    <w:multiLevelType w:val="singleLevel"/>
    <w:tmpl w:val="EB33E744"/>
    <w:lvl w:ilvl="0" w:tentative="0">
      <w:start w:val="12"/>
      <w:numFmt w:val="decimal"/>
      <w:suff w:val="space"/>
      <w:lvlText w:val="%1."/>
      <w:lvlJc w:val="left"/>
    </w:lvl>
  </w:abstractNum>
  <w:abstractNum w:abstractNumId="5">
    <w:nsid w:val="F97CB928"/>
    <w:multiLevelType w:val="singleLevel"/>
    <w:tmpl w:val="F97CB928"/>
    <w:lvl w:ilvl="0" w:tentative="0">
      <w:start w:val="1"/>
      <w:numFmt w:val="decimal"/>
      <w:lvlText w:val="%1."/>
      <w:lvlJc w:val="left"/>
      <w:pPr>
        <w:tabs>
          <w:tab w:val="left" w:pos="425"/>
        </w:tabs>
        <w:ind w:left="425" w:leftChars="0" w:hanging="425" w:firstLineChars="0"/>
      </w:pPr>
      <w:rPr>
        <w:rFonts w:hint="default"/>
      </w:rPr>
    </w:lvl>
  </w:abstractNum>
  <w:abstractNum w:abstractNumId="6">
    <w:nsid w:val="FDF4ED55"/>
    <w:multiLevelType w:val="singleLevel"/>
    <w:tmpl w:val="FDF4ED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8ACBDAE"/>
    <w:multiLevelType w:val="multilevel"/>
    <w:tmpl w:val="18ACBDA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1AF16FC7"/>
    <w:multiLevelType w:val="singleLevel"/>
    <w:tmpl w:val="1AF16F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07AF153"/>
    <w:multiLevelType w:val="singleLevel"/>
    <w:tmpl w:val="407AF1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B79598D"/>
    <w:multiLevelType w:val="singleLevel"/>
    <w:tmpl w:val="6B7959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AE5DA9D"/>
    <w:multiLevelType w:val="singleLevel"/>
    <w:tmpl w:val="7AE5DA9D"/>
    <w:lvl w:ilvl="0" w:tentative="0">
      <w:start w:val="1"/>
      <w:numFmt w:val="lowerLetter"/>
      <w:suff w:val="space"/>
      <w:lvlText w:val="(%1)"/>
      <w:lvlJc w:val="left"/>
    </w:lvl>
  </w:abstractNum>
  <w:num w:numId="1">
    <w:abstractNumId w:val="0"/>
  </w:num>
  <w:num w:numId="2">
    <w:abstractNumId w:val="9"/>
  </w:num>
  <w:num w:numId="3">
    <w:abstractNumId w:val="8"/>
  </w:num>
  <w:num w:numId="4">
    <w:abstractNumId w:val="10"/>
  </w:num>
  <w:num w:numId="5">
    <w:abstractNumId w:val="1"/>
  </w:num>
  <w:num w:numId="6">
    <w:abstractNumId w:val="6"/>
  </w:num>
  <w:num w:numId="7">
    <w:abstractNumId w:val="11"/>
  </w:num>
  <w:num w:numId="8">
    <w:abstractNumId w:val="7"/>
  </w:num>
  <w:num w:numId="9">
    <w:abstractNumId w:val="3"/>
  </w:num>
  <w:num w:numId="10">
    <w:abstractNumId w:val="4"/>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31E82"/>
    <w:rsid w:val="000E1795"/>
    <w:rsid w:val="002305C7"/>
    <w:rsid w:val="01050542"/>
    <w:rsid w:val="025B14EB"/>
    <w:rsid w:val="04DD6864"/>
    <w:rsid w:val="04E83CA3"/>
    <w:rsid w:val="083E11BB"/>
    <w:rsid w:val="0D745238"/>
    <w:rsid w:val="0D780702"/>
    <w:rsid w:val="0E2126D9"/>
    <w:rsid w:val="0EB35475"/>
    <w:rsid w:val="0EC4025F"/>
    <w:rsid w:val="0FCD113B"/>
    <w:rsid w:val="10365269"/>
    <w:rsid w:val="106F56DB"/>
    <w:rsid w:val="113C371A"/>
    <w:rsid w:val="11EC41D4"/>
    <w:rsid w:val="13340090"/>
    <w:rsid w:val="15787112"/>
    <w:rsid w:val="17697775"/>
    <w:rsid w:val="19DE5F80"/>
    <w:rsid w:val="19E97D73"/>
    <w:rsid w:val="1D782CA2"/>
    <w:rsid w:val="1E390681"/>
    <w:rsid w:val="1F9D3955"/>
    <w:rsid w:val="23E24AEB"/>
    <w:rsid w:val="24316097"/>
    <w:rsid w:val="24C5184D"/>
    <w:rsid w:val="251F3AF7"/>
    <w:rsid w:val="263C39C6"/>
    <w:rsid w:val="2808789B"/>
    <w:rsid w:val="28CF047C"/>
    <w:rsid w:val="28F84977"/>
    <w:rsid w:val="2C0E3943"/>
    <w:rsid w:val="2C1C696A"/>
    <w:rsid w:val="2CA433CB"/>
    <w:rsid w:val="2CB53B90"/>
    <w:rsid w:val="3076628F"/>
    <w:rsid w:val="307B4D26"/>
    <w:rsid w:val="32C76D5F"/>
    <w:rsid w:val="393B25A2"/>
    <w:rsid w:val="39845776"/>
    <w:rsid w:val="3B314B50"/>
    <w:rsid w:val="3C11529C"/>
    <w:rsid w:val="3DCF7CE8"/>
    <w:rsid w:val="3E104C07"/>
    <w:rsid w:val="402B6356"/>
    <w:rsid w:val="41317E02"/>
    <w:rsid w:val="423A60B6"/>
    <w:rsid w:val="426E2AAA"/>
    <w:rsid w:val="42E55659"/>
    <w:rsid w:val="433168C8"/>
    <w:rsid w:val="43ED6A03"/>
    <w:rsid w:val="45550CA7"/>
    <w:rsid w:val="45BD3779"/>
    <w:rsid w:val="46A26175"/>
    <w:rsid w:val="46DE54E3"/>
    <w:rsid w:val="472E321D"/>
    <w:rsid w:val="48341C04"/>
    <w:rsid w:val="4854425B"/>
    <w:rsid w:val="48D32C81"/>
    <w:rsid w:val="4AC23537"/>
    <w:rsid w:val="4D4215B4"/>
    <w:rsid w:val="4F203BC4"/>
    <w:rsid w:val="50CD3EF7"/>
    <w:rsid w:val="51931E82"/>
    <w:rsid w:val="53D27885"/>
    <w:rsid w:val="53FD1C59"/>
    <w:rsid w:val="54517EE5"/>
    <w:rsid w:val="54660D84"/>
    <w:rsid w:val="5BB3328B"/>
    <w:rsid w:val="5CB22472"/>
    <w:rsid w:val="5D4635C9"/>
    <w:rsid w:val="5DB11C53"/>
    <w:rsid w:val="62C360A9"/>
    <w:rsid w:val="63CF7C32"/>
    <w:rsid w:val="67556A46"/>
    <w:rsid w:val="67A17493"/>
    <w:rsid w:val="686E7AE0"/>
    <w:rsid w:val="6BBB2337"/>
    <w:rsid w:val="6DD10AEB"/>
    <w:rsid w:val="6E051D41"/>
    <w:rsid w:val="6E5F07A0"/>
    <w:rsid w:val="6F7F653B"/>
    <w:rsid w:val="6F992AFB"/>
    <w:rsid w:val="70D005A5"/>
    <w:rsid w:val="74A5040F"/>
    <w:rsid w:val="75E604F9"/>
    <w:rsid w:val="77FA5B73"/>
    <w:rsid w:val="795F53B0"/>
    <w:rsid w:val="79A71859"/>
    <w:rsid w:val="7D360E79"/>
    <w:rsid w:val="7DDB3239"/>
    <w:rsid w:val="7E4D1CC6"/>
    <w:rsid w:val="7EC402E6"/>
    <w:rsid w:val="7F673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3830</Words>
  <Characters>25081</Characters>
  <Lines>0</Lines>
  <Paragraphs>0</Paragraphs>
  <TotalTime>2</TotalTime>
  <ScaleCrop>false</ScaleCrop>
  <LinksUpToDate>false</LinksUpToDate>
  <CharactersWithSpaces>28558</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2025-10-15T23:04:00Z</dcterms:created>
  <dc:creator>Sumaiya Tasnim</dc:creator>
  <cp:lastModifiedBy>Sumaiya Tasnim</cp:lastModifiedBy>
  <dcterms:modified xsi:type="dcterms:W3CDTF">2025-10-19T19:05:51Z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682236D7BBD34B2E85DBAE224B926698_11</vt:lpwstr>
  </property>
</Properties>
</file>