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Computer Science Department — Term Report</w:t>
      </w:r>
    </w:p>
    <w:p>
      <w:r>
        <w:t>Spring 2025 term summary, prepared for the departmental review. All figures below are synthetic test data.</w:t>
      </w:r>
    </w:p>
    <w:p>
      <w:pPr>
        <w:pStyle w:val="Heading2"/>
      </w:pPr>
      <w:r>
        <w:t>Enrollment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</w:t>
            </w:r>
          </w:p>
        </w:tc>
        <w:tc>
          <w:tcPr>
            <w:tcW w:type="dxa" w:w="4320"/>
          </w:tcPr>
          <w:p>
            <w:r>
              <w:t>Enrolled Students</w:t>
            </w:r>
          </w:p>
        </w:tc>
      </w:tr>
      <w:tr>
        <w:tc>
          <w:tcPr>
            <w:tcW w:type="dxa" w:w="4320"/>
          </w:tcPr>
          <w:p>
            <w:r>
              <w:t>BSc Computer Science</w:t>
            </w:r>
          </w:p>
        </w:tc>
        <w:tc>
          <w:tcPr>
            <w:tcW w:type="dxa" w:w="4320"/>
          </w:tcPr>
          <w:p>
            <w:r>
              <w:t>142</w:t>
            </w:r>
          </w:p>
        </w:tc>
      </w:tr>
      <w:tr>
        <w:tc>
          <w:tcPr>
            <w:tcW w:type="dxa" w:w="4320"/>
          </w:tcPr>
          <w:p>
            <w:r>
              <w:t>BSc Electrical Engineering</w:t>
            </w:r>
          </w:p>
        </w:tc>
        <w:tc>
          <w:tcPr>
            <w:tcW w:type="dxa" w:w="4320"/>
          </w:tcPr>
          <w:p>
            <w:r>
              <w:t>98</w:t>
            </w:r>
          </w:p>
        </w:tc>
      </w:tr>
      <w:tr>
        <w:tc>
          <w:tcPr>
            <w:tcW w:type="dxa" w:w="4320"/>
          </w:tcPr>
          <w:p>
            <w:r>
              <w:t>BBA</w:t>
            </w:r>
          </w:p>
        </w:tc>
        <w:tc>
          <w:tcPr>
            <w:tcW w:type="dxa" w:w="4320"/>
          </w:tcPr>
          <w:p>
            <w:r>
              <w:t>176</w:t>
            </w:r>
          </w:p>
        </w:tc>
      </w:tr>
    </w:tbl>
    <w:p>
      <w:pPr>
        <w:pStyle w:val="Heading2"/>
      </w:pPr>
      <w:r>
        <w:t>Notes</w:t>
      </w:r>
    </w:p>
    <w:p>
      <w:pPr>
        <w:pStyle w:val="ListBullet"/>
      </w:pPr>
      <w:r>
        <w:rPr>
          <w:sz w:val="22"/>
        </w:rPr>
        <w:t>Average TPE (Teacher Performance Evaluation) score improved 4% over last term.</w:t>
      </w:r>
    </w:p>
    <w:p>
      <w:pPr>
        <w:pStyle w:val="ListBullet"/>
      </w:pPr>
      <w:r>
        <w:rPr>
          <w:sz w:val="22"/>
        </w:rPr>
        <w:t>Two course sections were merged due to low enrollment.</w:t>
      </w:r>
    </w:p>
    <w:p>
      <w:pPr>
        <w:pStyle w:val="ListBullet"/>
      </w:pPr>
      <w:r>
        <w:rPr>
          <w:sz w:val="22"/>
        </w:rPr>
        <w:t>Lab equipment upgrade completed ahead of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