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adcd75ebbe3c4fb6" /><Relationship Type="http://schemas.openxmlformats.org/package/2006/relationships/metadata/core-properties" Target="/docProps/core.xml" Id="R979a82e4a8fc47ab" /><Relationship Type="http://schemas.openxmlformats.org/officeDocument/2006/relationships/extended-properties" Target="/docProps/app.xml" Id="Rcc17016e22e44acd" /><Relationship Type="http://schemas.openxmlformats.org/officeDocument/2006/relationships/custom-properties" Target="/docProps/custom.xml" Id="R7f02ad9266bc43a4"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sz w:val="48"/>
        </w:rPr>
        <w:t xml:space="preserve">Telco Customer Churn Analytics &amp; Prediction</w:t>
      </w:r>
    </w:p>
    <w:p w14:paraId="00100002" w14:textId="00100003">
      <w:pPr>
        <w:spacing w:after="80"/>
        <w:jc w:val="center"/>
      </w:pPr>
      <w:r>
        <w:rPr>
          <w:color w:val="444444"/>
          <w:sz w:val="28"/>
        </w:rPr>
        <w:t xml:space="preserve">End-to-End Machine Learning Project Report</w:t>
      </w:r>
    </w:p>
    <w:p w14:paraId="00100004" w14:textId="001001A7">
      <w:pPr>
        <w:spacing w:after="400"/>
        <w:jc w:val="center"/>
      </w:pPr>
      <w:r>
        <w:rPr>
          <w:color w:val="666666"/>
          <w:sz w:val="22"/>
        </w:rPr>
        <w:t xml:space="preserve">Dataset: Telco Customer Churn (Kaggle)  |  Tool: Python / Streamlit  |  Models: 5 Classification Algorithms</w:t>
      </w:r>
    </w:p>
    <w:p w14:paraId="00100006" w14:textId="00100007">
      <w:pPr>
        <w:pStyle w:val="Heading2"/>
        <w:spacing w:after="80"/>
      </w:pPr>
      <w:r>
        <w:rPr/>
        <w:t xml:space="preserve">Table of Contents</w:t>
      </w:r>
    </w:p>
    <w:p w14:paraId="00100008" w14:textId="00100009">
      <w:pPr>
        <w:spacing w:after="320"/>
      </w:pPr>
      <w:r>
        <w:rPr>
          <w:sz w:val="22"/>
        </w:rPr>
        <w:t xml:space="preserve">1. Executive Summary</w:t>
      </w:r>
    </w:p>
    <w:p w14:paraId="0010000A" w14:textId="0010000B">
      <w:pPr>
        <w:spacing w:after="320"/>
      </w:pPr>
      <w:r>
        <w:rPr>
          <w:sz w:val="22"/>
        </w:rPr>
        <w:t xml:space="preserve">2. Business Problem</w:t>
      </w:r>
    </w:p>
    <w:p w14:paraId="0010000C" w14:textId="0010000D">
      <w:pPr>
        <w:spacing w:after="320"/>
      </w:pPr>
      <w:r>
        <w:rPr>
          <w:sz w:val="22"/>
        </w:rPr>
        <w:t xml:space="preserve">3. Dataset Overview</w:t>
      </w:r>
    </w:p>
    <w:p w14:paraId="0010000E" w14:textId="0010000F">
      <w:pPr>
        <w:spacing w:after="320"/>
      </w:pPr>
      <w:r>
        <w:rPr>
          <w:sz w:val="22"/>
        </w:rPr>
        <w:t xml:space="preserve">4. Methodology</w:t>
      </w:r>
    </w:p>
    <w:p w14:paraId="00100010" w14:textId="00100011">
      <w:pPr>
        <w:spacing w:after="320"/>
      </w:pPr>
      <w:r>
        <w:rPr>
          <w:sz w:val="22"/>
        </w:rPr>
        <w:t xml:space="preserve">5. Data Cleaning &amp; Preprocessing</w:t>
      </w:r>
    </w:p>
    <w:p w14:paraId="00100012" w14:textId="00100013">
      <w:pPr>
        <w:spacing w:after="320"/>
      </w:pPr>
      <w:r>
        <w:rPr>
          <w:sz w:val="22"/>
        </w:rPr>
        <w:t xml:space="preserve">6. Exploratory Data Analysis</w:t>
      </w:r>
    </w:p>
    <w:p w14:paraId="00100014" w14:textId="00100015">
      <w:pPr>
        <w:spacing w:after="320"/>
      </w:pPr>
      <w:r>
        <w:rPr>
          <w:sz w:val="22"/>
        </w:rPr>
        <w:t xml:space="preserve">7. Business Questions &amp; Insights</w:t>
      </w:r>
    </w:p>
    <w:p w14:paraId="00100016" w14:textId="00100017">
      <w:pPr>
        <w:spacing w:after="320"/>
      </w:pPr>
      <w:r>
        <w:rPr>
          <w:sz w:val="22"/>
        </w:rPr>
        <w:t xml:space="preserve">8. Feature Engineering</w:t>
      </w:r>
    </w:p>
    <w:p w14:paraId="00100018" w14:textId="00100019">
      <w:pPr>
        <w:spacing w:after="320"/>
      </w:pPr>
      <w:r>
        <w:rPr>
          <w:sz w:val="22"/>
        </w:rPr>
        <w:t xml:space="preserve">9. Model Development &amp; Evaluation</w:t>
      </w:r>
    </w:p>
    <w:p w14:paraId="0010001A" w14:textId="0010001B">
      <w:pPr>
        <w:spacing w:after="320"/>
      </w:pPr>
      <w:r>
        <w:rPr>
          <w:sz w:val="22"/>
        </w:rPr>
        <w:t xml:space="preserve">10. Model Comparison</w:t>
      </w:r>
    </w:p>
    <w:p w14:paraId="0010001C" w14:textId="0010001D">
      <w:pPr>
        <w:spacing w:after="320"/>
      </w:pPr>
      <w:r>
        <w:rPr>
          <w:sz w:val="22"/>
        </w:rPr>
        <w:t xml:space="preserve">11. Feature Importance &amp; Interpretation</w:t>
      </w:r>
    </w:p>
    <w:p w14:paraId="0010001E" w14:textId="0010001F">
      <w:pPr>
        <w:spacing w:after="320"/>
      </w:pPr>
      <w:r>
        <w:rPr>
          <w:sz w:val="22"/>
        </w:rPr>
        <w:t xml:space="preserve">12. Interactive Prediction Interface</w:t>
      </w:r>
    </w:p>
    <w:p w14:paraId="00100020" w14:textId="00100021">
      <w:pPr>
        <w:spacing w:after="320"/>
      </w:pPr>
      <w:r>
        <w:rPr>
          <w:sz w:val="22"/>
        </w:rPr>
        <w:t xml:space="preserve">13. Limitations</w:t>
      </w:r>
    </w:p>
    <w:p w14:paraId="00100022" w14:textId="00100023">
      <w:pPr>
        <w:spacing w:after="320"/>
      </w:pPr>
      <w:r>
        <w:rPr>
          <w:sz w:val="22"/>
        </w:rPr>
        <w:t xml:space="preserve">14. Recommendations</w:t>
      </w:r>
    </w:p>
    <w:p w14:paraId="00100024" w14:textId="00100025">
      <w:pPr>
        <w:spacing w:after="320"/>
      </w:pPr>
      <w:r>
        <w:rPr>
          <w:sz w:val="22"/>
        </w:rPr>
        <w:t xml:space="preserve">15. Conclusion</w:t>
      </w:r>
    </w:p>
    <w:p w14:paraId="00100026" w14:textId="00100027">
      <w:pPr>
        <w:pStyle w:val="Heading1"/>
        <w:spacing w:after="120"/>
      </w:pPr>
      <w:r>
        <w:rPr/>
        <w:t xml:space="preserve">1. Executive Summary</w:t>
      </w:r>
    </w:p>
    <w:p w14:paraId="00100028" w14:textId="001001A4">
      <w:pPr>
        <w:spacing w:after="160"/>
      </w:pPr>
      <w:r>
        <w:rPr>
          <w:sz w:val="22"/>
        </w:rPr>
        <w:t xml:space="preserve">This report presents a complete end-to-end analytics and machine learning project for predicting customer churn in the telecommunications industry. Using the Telco Customer Churn dataset (Kaggle) (7,043 customers, 21 features), we performed data cleaning, exploratory data analysis, feature engineering, and trained five classification models to identify customers at risk of churning.</w:t>
      </w:r>
    </w:p>
    <w:p w14:paraId="0010002A" w14:textId="0010002B">
      <w:pPr>
        <w:spacing w:after="240"/>
      </w:pPr>
      <w:r>
        <w:rPr>
          <w:sz w:val="22"/>
        </w:rPr>
        <w:t xml:space="preserve">The overall churn rate in this dataset is 26.54% (1,869 out of 7,043 customers). The best-performing model was Gradient Boosting with a test ROC-AUC of 0.8415 and accuracy of 79.99%. Key predictors identified include tenure, contract type, total charges, monthly charges, and internet service type. The project is delivered as an interactive Streamlit web application with eight navigable pages covering all aspects from data exploration to real-time prediction.</w:t>
      </w:r>
    </w:p>
    <w:p w14:paraId="0010002C" w14:textId="0010002D">
      <w:pPr>
        <w:pStyle w:val="Heading1"/>
        <w:spacing w:after="120"/>
      </w:pPr>
      <w:r>
        <w:rPr/>
        <w:t xml:space="preserve">2. Business Problem</w:t>
      </w:r>
    </w:p>
    <w:p w14:paraId="0010002E" w14:textId="0010002F">
      <w:pPr>
        <w:spacing w:after="160"/>
      </w:pPr>
      <w:r>
        <w:rPr>
          <w:sz w:val="22"/>
        </w:rPr>
        <w:t xml:space="preserve">Customer churn — the rate at which customers stop doing business with a company — is one of the most critical metrics in the telecommunications industry. The cost of acquiring a new customer is substantially higher than the cost of retaining an existing one. For telecom providers with large customer bases and high competition, even a small reduction in churn can translate to significant revenue retention.</w:t>
      </w:r>
    </w:p>
    <w:p w14:paraId="00100030" w14:textId="00100031">
      <w:pPr>
        <w:spacing w:after="80"/>
      </w:pPr>
      <w:r>
        <w:rPr>
          <w:sz w:val="22"/>
        </w:rPr>
        <w:t xml:space="preserve">This project addresses three core business objectives:</w:t>
      </w:r>
    </w:p>
    <w:p w14:paraId="00100032" w14:textId="00100033">
      <w:pPr>
        <w:numPr>
          <w:ilvl w:val="0"/>
          <w:numId w:val="1"/>
        </w:numPr>
        <w:spacing w:after="80"/>
      </w:pPr>
      <w:r>
        <w:rPr>
          <w:sz w:val="22"/>
        </w:rPr>
        <w:t xml:space="preserve">(1) Understand which customer segments, services, and behaviours are associated with higher observed churn rates in this dataset.</w:t>
      </w:r>
    </w:p>
    <w:p w14:paraId="00100034" w14:textId="00100035">
      <w:pPr>
        <w:numPr>
          <w:ilvl w:val="0"/>
          <w:numId w:val="1"/>
        </w:numPr>
        <w:spacing w:after="80"/>
      </w:pPr>
      <w:r>
        <w:rPr>
          <w:sz w:val="22"/>
        </w:rPr>
        <w:t xml:space="preserve">(2) Build predictive models that can identify customers at risk of churning based on their profile.</w:t>
      </w:r>
    </w:p>
    <w:p w14:paraId="00100036" w14:textId="00100037">
      <w:pPr>
        <w:numPr>
          <w:ilvl w:val="0"/>
          <w:numId w:val="1"/>
        </w:numPr>
        <w:spacing w:after="240"/>
      </w:pPr>
      <w:r>
        <w:rPr>
          <w:sz w:val="22"/>
        </w:rPr>
        <w:t xml:space="preserve">(3) Provide a real-time interactive tool for business users to assess individual customer churn risk.</w:t>
      </w:r>
    </w:p>
    <w:p w14:paraId="00100038" w14:textId="00100039">
      <w:pPr>
        <w:pStyle w:val="Heading1"/>
        <w:spacing w:after="120"/>
      </w:pPr>
      <w:r>
        <w:rPr/>
        <w:t xml:space="preserve">3. Dataset Overview</w:t>
      </w:r>
    </w:p>
    <w:p w14:paraId="0010003A" w14:textId="001001A5">
      <w:pPr>
        <w:spacing w:after="160"/>
      </w:pPr>
      <w:r>
        <w:rPr>
          <w:sz w:val="22"/>
        </w:rPr>
        <w:t xml:space="preserve">The dataset used is the Telco Customer Churn dataset (Kaggle) (WA_Fn-UseC_-Telco-Customer-Churn.csv). It contains information about 7,043 customers of a fictional California telecommunications company, including their demographics, subscribed services, account information, and whether they churned in the last month.</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3C" w14:textId="0010003D">
            <w:r>
              <w:t xml:space="preserve">Property</w:t>
            </w:r>
          </w:p>
        </w:tc>
        <w:tc>
          <w:p w14:paraId="0010003E" w14:textId="0010003F">
            <w:r>
              <w:t xml:space="preserve">Value</w:t>
            </w:r>
          </w:p>
        </w:tc>
      </w:tr>
      <w:tr>
        <w:trPr/>
        <w:tc>
          <w:p w14:paraId="00100040" w14:textId="00100041">
            <w:r>
              <w:t xml:space="preserve">Source</w:t>
            </w:r>
          </w:p>
        </w:tc>
        <w:tc>
          <w:p w14:paraId="00100042" w14:textId="001001A9">
            <w:r>
              <w:t xml:space="preserve">Telco Customer Churn — Kaggle (WA_Fn-UseC_-Telco-Customer-Churn.csv)</w:t>
            </w:r>
          </w:p>
        </w:tc>
      </w:tr>
      <w:tr>
        <w:trPr/>
        <w:tc>
          <w:p w14:paraId="00100044" w14:textId="00100045">
            <w:r>
              <w:t xml:space="preserve">Total Customers</w:t>
            </w:r>
          </w:p>
        </w:tc>
        <w:tc>
          <w:p w14:paraId="00100046" w14:textId="00100047">
            <w:r>
              <w:t xml:space="preserve">7,043</w:t>
            </w:r>
          </w:p>
        </w:tc>
      </w:tr>
      <w:tr>
        <w:trPr/>
        <w:tc>
          <w:p w14:paraId="00100048" w14:textId="00100049">
            <w:r>
              <w:t xml:space="preserve">Features</w:t>
            </w:r>
          </w:p>
        </w:tc>
        <w:tc>
          <w:p w14:paraId="0010004A" w14:textId="0010004B">
            <w:r>
              <w:t xml:space="preserve">21 (20 predictors + 1 target)</w:t>
            </w:r>
          </w:p>
        </w:tc>
      </w:tr>
      <w:tr>
        <w:trPr/>
        <w:tc>
          <w:p w14:paraId="0010004C" w14:textId="0010004D">
            <w:r>
              <w:t xml:space="preserve">Churn Rate</w:t>
            </w:r>
          </w:p>
        </w:tc>
        <w:tc>
          <w:p w14:paraId="0010004E" w14:textId="0010004F">
            <w:r>
              <w:t xml:space="preserve">26.54% (1,869 churned / 5,174 retained)</w:t>
            </w:r>
          </w:p>
        </w:tc>
      </w:tr>
    </w:tbl>
    <w:p w14:paraId="00100050" w14:textId="00100051">
      <w:pPr>
        <w:spacing w:after="240"/>
        <w:jc w:val="center"/>
      </w:pPr>
      <w:r>
        <w:rPr>
          <w:color w:val="666666"/>
          <w:sz w:val="20"/>
        </w:rPr>
        <w:t xml:space="preserve">Table 1: Dataset Summary Statistics</w:t>
      </w:r>
    </w:p>
    <w:p w14:paraId="00100052" w14:textId="00100053">
      <w:pPr>
        <w:pStyle w:val="Heading1"/>
        <w:spacing w:after="120"/>
      </w:pPr>
      <w:r>
        <w:rPr/>
        <w:t xml:space="preserve">4. Methodology</w:t>
      </w:r>
    </w:p>
    <w:p w14:paraId="00100054" w14:textId="00100055">
      <w:pPr>
        <w:spacing w:after="120"/>
      </w:pPr>
      <w:r>
        <w:rPr>
          <w:sz w:val="22"/>
        </w:rPr>
        <w:t xml:space="preserve">The project follows the CRISP-DM (Cross-Industry Standard Process for Data Mining) framework, adapted for this use case. The pipeline is as follows:</w:t>
      </w:r>
    </w:p>
    <w:p w14:paraId="00100056" w14:textId="00100057">
      <w:pPr>
        <w:numPr>
          <w:ilvl w:val="0"/>
          <w:numId w:val="2"/>
        </w:numPr>
        <w:spacing w:after="80"/>
      </w:pPr>
      <w:r>
        <w:rPr>
          <w:sz w:val="22"/>
        </w:rPr>
        <w:t xml:space="preserve">Step 1 — Data Loading &amp; Validation: Load the CSV, verify shape and column types, identify missing values and duplicates.</w:t>
      </w:r>
    </w:p>
    <w:p w14:paraId="00100058" w14:textId="00100059">
      <w:pPr>
        <w:numPr>
          <w:ilvl w:val="0"/>
          <w:numId w:val="2"/>
        </w:numPr>
        <w:spacing w:after="80"/>
      </w:pPr>
      <w:r>
        <w:rPr>
          <w:sz w:val="22"/>
        </w:rPr>
        <w:t xml:space="preserve">Step 2 — Data Cleaning &amp; Preprocessing: Impute blank TotalCharges with MonthlyCharges (valid for zero-tenure customers). Encode Churn as binary (1/Yes, 0/No). Drop customerID.</w:t>
      </w:r>
    </w:p>
    <w:p w14:paraId="0010005A" w14:textId="0010005B">
      <w:pPr>
        <w:numPr>
          <w:ilvl w:val="0"/>
          <w:numId w:val="2"/>
        </w:numPr>
        <w:spacing w:after="80"/>
      </w:pPr>
      <w:r>
        <w:rPr>
          <w:sz w:val="22"/>
        </w:rPr>
        <w:t xml:space="preserve">Step 3 — Exploratory Data Analysis: Visualise distributions, churn rates by segment, correlations, and cross-tabulations.</w:t>
      </w:r>
    </w:p>
    <w:p w14:paraId="0010005C" w14:textId="0010005D">
      <w:pPr>
        <w:numPr>
          <w:ilvl w:val="0"/>
          <w:numId w:val="2"/>
        </w:numPr>
        <w:spacing w:after="80"/>
      </w:pPr>
      <w:r>
        <w:rPr>
          <w:sz w:val="22"/>
        </w:rPr>
        <w:t xml:space="preserve">Step 4 — Feature Engineering: Create Tenure_Band, Charge_Band, Num_Services, and Charge_Per_Month. Note: these are used for EDA only and excluded from model training to prevent data leakage.</w:t>
      </w:r>
    </w:p>
    <w:p w14:paraId="0010005E" w14:textId="0010005F">
      <w:pPr>
        <w:numPr>
          <w:ilvl w:val="0"/>
          <w:numId w:val="2"/>
        </w:numPr>
        <w:spacing w:after="80"/>
      </w:pPr>
      <w:r>
        <w:rPr>
          <w:sz w:val="22"/>
        </w:rPr>
        <w:t xml:space="preserve">Step 5 — Model Data Preparation: LabelEncoder applied to all categorical features. StandardScaler applied to numeric features for distance/linear models. Train/test split: 80%/20%, stratified by churn label.</w:t>
      </w:r>
    </w:p>
    <w:p w14:paraId="00100060" w14:textId="00100061">
      <w:pPr>
        <w:numPr>
          <w:ilvl w:val="0"/>
          <w:numId w:val="2"/>
        </w:numPr>
        <w:spacing w:after="80"/>
      </w:pPr>
      <w:r>
        <w:rPr>
          <w:sz w:val="22"/>
        </w:rPr>
        <w:t xml:space="preserve">Step 6 — Model Training: Five models trained: Logistic Regression, Decision Tree (max_depth=6), Random Forest (200 trees), Gradient Boosting (200 estimators), K-Nearest Neighbors (k=7).</w:t>
      </w:r>
    </w:p>
    <w:p w14:paraId="00100062" w14:textId="00100063">
      <w:pPr>
        <w:numPr>
          <w:ilvl w:val="0"/>
          <w:numId w:val="2"/>
        </w:numPr>
        <w:spacing w:after="80"/>
      </w:pPr>
      <w:r>
        <w:rPr>
          <w:sz w:val="22"/>
        </w:rPr>
        <w:t xml:space="preserve">Step 7 — Evaluation: Models evaluated on held-out test set using Accuracy, Precision, Recall, F1-Score, ROC-AUC, confusion matrices, and ROC curves.</w:t>
      </w:r>
    </w:p>
    <w:p w14:paraId="00100064" w14:textId="00100065">
      <w:pPr>
        <w:numPr>
          <w:ilvl w:val="0"/>
          <w:numId w:val="2"/>
        </w:numPr>
        <w:spacing w:after="80"/>
      </w:pPr>
      <w:r>
        <w:rPr>
          <w:sz w:val="22"/>
        </w:rPr>
        <w:t xml:space="preserve">Step 8 — Interpretation: Feature importance extracted for tree models, coefficient magnitudes for Logistic Regression, and permutation importance for KNN.</w:t>
      </w:r>
    </w:p>
    <w:p w14:paraId="00100066" w14:textId="00100067">
      <w:pPr>
        <w:numPr>
          <w:ilvl w:val="0"/>
          <w:numId w:val="2"/>
        </w:numPr>
        <w:spacing w:after="240"/>
      </w:pPr>
      <w:r>
        <w:rPr>
          <w:sz w:val="22"/>
        </w:rPr>
        <w:t xml:space="preserve">Step 9 — Prediction Interface: Interactive form using the same fitted encoders and scaler from training — no data leakage. Best model selected automatically by ROC-AUC.</w:t>
      </w:r>
    </w:p>
    <w:p w14:paraId="00100068" w14:textId="00100069">
      <w:pPr>
        <w:pStyle w:val="Heading1"/>
        <w:spacing w:after="120"/>
      </w:pPr>
      <w:r>
        <w:rPr/>
        <w:t xml:space="preserve">5. Data Cleaning &amp; Preprocessing</w:t>
      </w:r>
    </w:p>
    <w:p w14:paraId="0010006A" w14:textId="0010006B">
      <w:pPr>
        <w:pStyle w:val="Heading2"/>
        <w:spacing w:after="80"/>
      </w:pPr>
      <w:r>
        <w:rPr/>
        <w:t xml:space="preserve">5.1 Missing Values</w:t>
      </w:r>
    </w:p>
    <w:p w14:paraId="0010006C" w14:textId="0010006D">
      <w:pPr>
        <w:spacing w:after="160"/>
      </w:pPr>
      <w:r>
        <w:rPr>
          <w:sz w:val="22"/>
        </w:rPr>
        <w:t xml:space="preserve">The raw CSV contained 11 rows where TotalCharges was stored as an empty string rather than a numeric value. All 11 affected customers had tenure = 0 (i.e., they had not yet been billed for a full month). These values were imputed using the customer's MonthlyCharges value — the most logical and leakage-free approach given their zero-month tenure. After this fix, no other missing values were present in the dataset.</w:t>
      </w:r>
    </w:p>
    <w:p w14:paraId="0010006E" w14:textId="0010006F">
      <w:pPr>
        <w:pStyle w:val="Heading2"/>
        <w:spacing w:after="80"/>
      </w:pPr>
      <w:r>
        <w:rPr/>
        <w:t xml:space="preserve">5.2 Feature Encoding</w:t>
      </w:r>
    </w:p>
    <w:p w14:paraId="00100070" w14:textId="00100071">
      <w:pPr>
        <w:spacing w:after="160"/>
      </w:pPr>
      <w:r>
        <w:rPr>
          <w:sz w:val="22"/>
        </w:rPr>
        <w:t xml:space="preserve">All categorical features (gender, Partner, Dependents, PhoneService, MultipleLines, InternetService, OnlineSecurity, OnlineBackup, DeviceProtection, TechSupport, StreamingTV, StreamingMovies, Contract, PaperlessBilling, PaymentMethod) were encoded using scikit-learn's LabelEncoder. Encoders were fitted exclusively on training data to avoid data leakage, then applied to both the test set and the prediction interface.</w:t>
      </w:r>
    </w:p>
    <w:p w14:paraId="00100072" w14:textId="00100073">
      <w:pPr>
        <w:pStyle w:val="Heading2"/>
        <w:spacing w:after="80"/>
      </w:pPr>
      <w:r>
        <w:rPr/>
        <w:t xml:space="preserve">5.3 Feature Scaling</w:t>
      </w:r>
    </w:p>
    <w:p w14:paraId="00100074" w14:textId="00100075">
      <w:pPr>
        <w:spacing w:after="160"/>
      </w:pPr>
      <w:r>
        <w:rPr>
          <w:sz w:val="22"/>
        </w:rPr>
        <w:t xml:space="preserve">StandardScaler was applied to all features for Logistic Regression and K-Nearest Neighbors — algorithms that are sensitive to feature magnitude. Tree-based models (Decision Tree, Random Forest, Gradient Boosting) received unscaled features. The scaler was fitted on the training set only and applied consistently to the test set and prediction interface.</w:t>
      </w:r>
    </w:p>
    <w:p w14:paraId="00100076" w14:textId="00100077">
      <w:pPr>
        <w:pStyle w:val="Heading2"/>
        <w:spacing w:after="80"/>
      </w:pPr>
      <w:r>
        <w:rPr/>
        <w:t xml:space="preserve">5.4 Data Leakage Prevention</w:t>
      </w:r>
    </w:p>
    <w:p w14:paraId="00100078" w14:textId="00100079">
      <w:pPr>
        <w:spacing w:after="240"/>
      </w:pPr>
      <w:r>
        <w:rPr>
          <w:sz w:val="22"/>
        </w:rPr>
        <w:t xml:space="preserve">customerID was removed before any modelling step. Engineered band features (Tenure_Band, Charge_Band) are derived from the raw features and are used only for EDA visualisations — they are not included in the model feature matrix. All encoders and scalers were fitted on training data only.</w:t>
      </w:r>
    </w:p>
    <w:p w14:paraId="0010007A" w14:textId="0010007B">
      <w:pPr>
        <w:pStyle w:val="Heading1"/>
        <w:spacing w:after="120"/>
      </w:pPr>
      <w:r>
        <w:rPr/>
        <w:t xml:space="preserve">6. Exploratory Data Analysis</w:t>
      </w:r>
    </w:p>
    <w:p w14:paraId="0010007C" w14:textId="0010007D">
      <w:pPr>
        <w:pStyle w:val="Heading2"/>
        <w:spacing w:after="80"/>
      </w:pPr>
      <w:r>
        <w:rPr/>
        <w:t xml:space="preserve">6.1 Churn Rate Overview</w:t>
      </w:r>
    </w:p>
    <w:p w14:paraId="0010007E" w14:textId="0010007F">
      <w:pPr>
        <w:spacing w:after="160"/>
      </w:pPr>
      <w:r>
        <w:rPr>
          <w:sz w:val="22"/>
        </w:rPr>
        <w:t xml:space="preserve">The dataset contains 7,043 customer records with 1,869 churned customers (26.54%) and 5,174 retained customers (73.46%). This moderate class imbalance means accuracy alone is an insufficient evaluation metric — ROC-AUC and F1-Score are emphasised instead.</w:t>
      </w:r>
    </w:p>
    <w:p w14:paraId="00100080" w14:textId="00100081">
      <w:pPr>
        <w:pStyle w:val="Heading2"/>
        <w:spacing w:after="80"/>
      </w:pPr>
      <w:r>
        <w:rPr/>
        <w:t xml:space="preserve">6.2 Demographic Analysis</w:t>
      </w:r>
    </w:p>
    <w:p w14:paraId="00100082" w14:textId="00100083">
      <w:pPr>
        <w:spacing w:after="160"/>
      </w:pPr>
      <w:r>
        <w:rPr>
          <w:sz w:val="22"/>
        </w:rPr>
        <w:t xml:space="preserve">Gender shows minimal association with churn (Male: ~26.2%, Female: ~26.9%). Senior citizens show a higher observed churn rate (41.7%) compared to non-senior customers (23.7%). Customers without partners (33.0%) and without dependents (31.3%) show higher churn rates than those with partners (20.5%) or dependents (15.5%).</w:t>
      </w:r>
    </w:p>
    <w:p w14:paraId="00100084" w14:textId="00100085">
      <w:pPr>
        <w:pStyle w:val="Heading2"/>
        <w:spacing w:after="80"/>
      </w:pPr>
      <w:r>
        <w:rPr/>
        <w:t xml:space="preserve">6.3 Service Analysis</w:t>
      </w:r>
    </w:p>
    <w:p w14:paraId="00100086" w14:textId="00100087">
      <w:pPr>
        <w:spacing w:after="160"/>
      </w:pPr>
      <w:r>
        <w:rPr>
          <w:sz w:val="22"/>
        </w:rPr>
        <w:t xml:space="preserve">Fiber optic internet service is associated with the highest churn rate at 41.9%, compared to DSL (19.0%) and no internet service (7.4%). Customers without OnlineSecurity, TechSupport, OnlineBackup, and DeviceProtection show substantially higher churn rates. Streaming TV and StreamingMovies show smaller differences in churn rates between subscribers and non-subscribers.</w:t>
      </w:r>
    </w:p>
    <w:p w14:paraId="00100088" w14:textId="00100089">
      <w:pPr>
        <w:pStyle w:val="Heading2"/>
        <w:spacing w:after="80"/>
      </w:pPr>
      <w:r>
        <w:rPr/>
        <w:t xml:space="preserve">6.4 Contract &amp; Payment Analysis</w:t>
      </w:r>
    </w:p>
    <w:p w14:paraId="0010008A" w14:textId="0010008B">
      <w:pPr>
        <w:spacing w:after="160"/>
      </w:pPr>
      <w:r>
        <w:rPr>
          <w:sz w:val="22"/>
        </w:rPr>
        <w:t xml:space="preserve">Contract type is the strongest single-feature differentiator: Month-to-month: 42.7% churn | One year: 11.3% | Two year: 2.8%. Customers using electronic check payment show 45.3% churn, compared to 15–16% for automatic payment methods (credit card automatic: 15.2%, bank transfer automatic: 16.7%).</w:t>
      </w:r>
    </w:p>
    <w:p w14:paraId="0010008C" w14:textId="0010008D">
      <w:pPr>
        <w:pStyle w:val="Heading2"/>
        <w:spacing w:after="80"/>
      </w:pPr>
      <w:r>
        <w:rPr/>
        <w:t xml:space="preserve">6.5 Charges &amp; Tenure Analysis</w:t>
      </w:r>
    </w:p>
    <w:p w14:paraId="0010008E" w14:textId="0010008F">
      <w:pPr>
        <w:spacing w:after="240"/>
      </w:pPr>
      <w:r>
        <w:rPr>
          <w:sz w:val="22"/>
        </w:rPr>
        <w:t xml:space="preserve">Churned customers have a notably shorter average tenure (18.0 months vs 37.6 months for retained customers) and higher average monthly charges ($74.44 vs $61.27). The combination of short tenure and high monthly charges is strongly associated with elevated churn in this dataset. Customers in the 0–12 month tenure band show the highest churn rate across all tenure segments.</w:t>
      </w:r>
    </w:p>
    <w:p w14:paraId="00100090" w14:textId="00100091">
      <w:pPr>
        <w:pStyle w:val="Heading1"/>
        <w:spacing w:after="120"/>
      </w:pPr>
      <w:r>
        <w:rPr/>
        <w:t xml:space="preserve">7. Business Questions &amp; Insights</w:t>
      </w:r>
    </w:p>
    <w:p w14:paraId="00100092" w14:textId="00100093">
      <w:pPr>
        <w:spacing w:after="160"/>
      </w:pPr>
      <w:r>
        <w:rPr>
          <w:b/>
          <w:sz w:val="22"/>
        </w:rPr>
        <w:t xml:space="preserve">Important Note: All findings below describe associations observed in this specific dataset. Correlation does not imply causation, and these patterns should not be interpreted as causal relationships without further controlled study.</w:t>
      </w:r>
    </w:p>
    <w:p w14:paraId="00100094" w14:textId="00100095">
      <w:pPr>
        <w:pStyle w:val="Heading2"/>
        <w:spacing w:after="80"/>
      </w:pPr>
      <w:r>
        <w:rPr/>
        <w:t xml:space="preserve">Q1: What is the overall churn rate?</w:t>
      </w:r>
    </w:p>
    <w:p w14:paraId="00100096" w14:textId="00100097">
      <w:pPr>
        <w:spacing w:after="160"/>
      </w:pPr>
      <w:r>
        <w:rPr>
          <w:sz w:val="22"/>
        </w:rPr>
        <w:t xml:space="preserve">The overall churn rate is 26.54% (1,869 churned / 7,043 total customers). The monthly revenue at risk from churned customers amounts to approximately $139,130 per month based on their MonthlyCharges values. This rate indicates a substantial retention challenge for the business.</w:t>
      </w:r>
    </w:p>
    <w:p w14:paraId="00100098" w14:textId="00100099">
      <w:pPr>
        <w:pStyle w:val="Heading2"/>
        <w:spacing w:after="80"/>
      </w:pPr>
      <w:r>
        <w:rPr/>
        <w:t xml:space="preserve">Q2: Which customer segments have the highest churn?</w:t>
      </w:r>
    </w:p>
    <w:p w14:paraId="0010009A" w14:textId="0010009B">
      <w:pPr>
        <w:spacing w:after="160"/>
      </w:pPr>
      <w:r>
        <w:rPr>
          <w:sz w:val="22"/>
        </w:rPr>
        <w:t xml:space="preserve">The highest-churn segments observed in this dataset are: (1) Month-to-month contract holders: 42.7% churn; (2) Electronic check payment customers: ~45.3%; (3) Fiber optic internet users: 41.9%; (4) Customers in the 0–12 month tenure band: &gt;40%; (5) Senior citizens: 41.7%; (6) Customers without add-on services (OnlineSecurity, TechSupport): 41–44%.</w:t>
      </w:r>
    </w:p>
    <w:p w14:paraId="0010009C" w14:textId="0010009D">
      <w:pPr>
        <w:pStyle w:val="Heading2"/>
        <w:spacing w:after="80"/>
      </w:pPr>
      <w:r>
        <w:rPr/>
        <w:t xml:space="preserve">Q3: How do tenure and monthly charges relate to churn?</w:t>
      </w:r>
    </w:p>
    <w:p w14:paraId="0010009E" w14:textId="0010009F">
      <w:pPr>
        <w:spacing w:after="160"/>
      </w:pPr>
      <w:r>
        <w:rPr>
          <w:sz w:val="22"/>
        </w:rPr>
        <w:t xml:space="preserve">Churned customers have an average tenure of 18.0 months compared to 37.6 months for retained customers — a difference of approximately 19.6 months. Churned customers also pay higher average monthly charges ($74.44 vs $61.27). Customers in the 0–12 month tenure band paying high monthly charges show the highest observed churn concentration. Note: the higher monthly charges of churned customers likely reflect the fact that Fiber optic users (who have higher prices) also churn more — these variables are interrelated.</w:t>
      </w:r>
    </w:p>
    <w:p w14:paraId="001000A0" w14:textId="001000A1">
      <w:pPr>
        <w:pStyle w:val="Heading2"/>
        <w:spacing w:after="80"/>
      </w:pPr>
      <w:r>
        <w:rPr/>
        <w:t xml:space="preserve">Q4: How does contract type affect churn patterns?</w:t>
      </w:r>
    </w:p>
    <w:p w14:paraId="001000A2" w14:textId="001000A3">
      <w:pPr>
        <w:spacing w:after="160"/>
      </w:pPr>
      <w:r>
        <w:rPr>
          <w:sz w:val="22"/>
        </w:rPr>
        <w:t xml:space="preserve">Contract type shows the largest observed churn rate differential of any single feature. Month-to-month contracts are associated with a 42.7% churn rate, One year contracts with 11.3%, and Two year contracts with only 2.8%. This pattern holds across all tenure bands, suggesting that the contract structure is a strong differentiator regardless of how long a customer has been with the company.</w:t>
      </w:r>
    </w:p>
    <w:p w14:paraId="001000A4" w14:textId="001000A5">
      <w:pPr>
        <w:pStyle w:val="Heading2"/>
        <w:spacing w:after="80"/>
      </w:pPr>
      <w:r>
        <w:rPr/>
        <w:t xml:space="preserve">Q5: How do internet service and payment methods relate to churn?</w:t>
      </w:r>
    </w:p>
    <w:p w14:paraId="001000A6" w14:textId="001000A7">
      <w:pPr>
        <w:spacing w:after="160"/>
      </w:pPr>
      <w:r>
        <w:rPr>
          <w:sz w:val="22"/>
        </w:rPr>
        <w:t xml:space="preserve">Fiber optic internet service is associated with a 41.9% churn rate — more than double the 19.0% for DSL and substantially higher than 7.4% for customers without internet service. Electronic check payment is associated with a churn rate of approximately 45.3%, compared to 15–17% for automatic payment methods. The interplay between these variables (Fiber optic customers may prefer electronic check) suggests they are not independent risk factors.</w:t>
      </w:r>
    </w:p>
    <w:p w14:paraId="001000A8" w14:textId="001000A9">
      <w:pPr>
        <w:pStyle w:val="Heading2"/>
        <w:spacing w:after="80"/>
      </w:pPr>
      <w:r>
        <w:rPr/>
        <w:t xml:space="preserve">Q6: Which services are associated with different churn rates?</w:t>
      </w:r>
    </w:p>
    <w:p w14:paraId="001000AA" w14:textId="001000AB">
      <w:pPr>
        <w:spacing w:after="160"/>
      </w:pPr>
      <w:r>
        <w:rPr>
          <w:sz w:val="22"/>
        </w:rPr>
        <w:t xml:space="preserve">Add-on services show clear churn rate differentiation. Customers without OnlineSecurity show a ~41% churn rate vs ~15% for those with it. Without TechSupport: ~42% vs ~15%. Without OnlineBackup: ~33% vs ~22%. Without DeviceProtection: ~33% vs ~22%. StreamingTV and StreamingMovies show smaller differences (~30% vs ~27% and ~30% vs ~26% respectively). These patterns suggest that security and support services are more strongly associated with retention than entertainment streaming services.</w:t>
      </w:r>
    </w:p>
    <w:p w14:paraId="001000AC" w14:textId="001000AD">
      <w:pPr>
        <w:pStyle w:val="Heading2"/>
        <w:spacing w:after="80"/>
      </w:pPr>
      <w:r>
        <w:rPr/>
        <w:t xml:space="preserve">Q7: Which features are most important to the prediction model?</w:t>
      </w:r>
    </w:p>
    <w:p w14:paraId="001000AE" w14:textId="001000AF">
      <w:pPr>
        <w:spacing w:after="240"/>
      </w:pPr>
      <w:r>
        <w:rPr>
          <w:sz w:val="22"/>
        </w:rPr>
        <w:t xml:space="preserve">Based on Gradient Boosting feature importance (mean decrease in impurity), the top predictive features are: (1) tenure — the most important feature by a significant margin; (2) TotalCharges — strongly correlated with tenure; (3) MonthlyCharges; (4) Contract type — ordinal encoding maps Month-to-month=0, One year=1, Two year=2; (5) InternetService type; (6) PaymentMethod. Demographic features (gender, Dependents) rank consistently low across all models.</w:t>
      </w:r>
    </w:p>
    <w:p w14:paraId="001000B0" w14:textId="001000B1">
      <w:pPr>
        <w:pStyle w:val="Heading1"/>
        <w:spacing w:after="120"/>
      </w:pPr>
      <w:r>
        <w:rPr/>
        <w:t xml:space="preserve">8. Feature Engineering</w:t>
      </w:r>
    </w:p>
    <w:p w14:paraId="001000B2" w14:textId="001000B3">
      <w:pPr>
        <w:spacing w:after="80"/>
      </w:pPr>
      <w:r>
        <w:rPr>
          <w:sz w:val="22"/>
        </w:rPr>
        <w:t xml:space="preserve">Four additional features were engineered from the raw data to aid exploratory analysis:</w:t>
      </w:r>
    </w:p>
    <w:p w14:paraId="001000B4" w14:textId="001000B5">
      <w:pPr>
        <w:numPr>
          <w:ilvl w:val="0"/>
          <w:numId w:val="3"/>
        </w:numPr>
        <w:spacing w:after="80"/>
      </w:pPr>
      <w:r>
        <w:rPr>
          <w:sz w:val="22"/>
        </w:rPr>
        <w:t xml:space="preserve">Tenure_Band: Categorical grouping of tenure into four bands (0-12, 13-24, 25-48, 49-72 months) to enable segment-level churn analysis. Churn rates by band: 0-12 months (&gt;40%), 13-24 months (~26%), 25-48 months (~21%), 49-72 months (~12%).</w:t>
      </w:r>
    </w:p>
    <w:p w14:paraId="001000B6" w14:textId="001000B7">
      <w:pPr>
        <w:numPr>
          <w:ilvl w:val="0"/>
          <w:numId w:val="3"/>
        </w:numPr>
        <w:spacing w:after="80"/>
      </w:pPr>
      <w:r>
        <w:rPr>
          <w:sz w:val="22"/>
        </w:rPr>
        <w:t xml:space="preserve">Charge_Band: MonthlyCharges grouped into Low (&lt;$35), Mid ($35-$65), High ($65-$95), Very High (&gt;$95) to visualise price sensitivity and churn.</w:t>
      </w:r>
    </w:p>
    <w:p w14:paraId="001000B8" w14:textId="001000B9">
      <w:pPr>
        <w:numPr>
          <w:ilvl w:val="0"/>
          <w:numId w:val="3"/>
        </w:numPr>
        <w:spacing w:after="80"/>
      </w:pPr>
      <w:r>
        <w:rPr>
          <w:sz w:val="22"/>
        </w:rPr>
        <w:t xml:space="preserve">Num_Services: Count of the 6 add-on services a customer subscribes to (0-6). Higher service counts are associated with slightly lower churn rates.</w:t>
      </w:r>
    </w:p>
    <w:p w14:paraId="001000BA" w14:textId="001000BB">
      <w:pPr>
        <w:numPr>
          <w:ilvl w:val="0"/>
          <w:numId w:val="3"/>
        </w:numPr>
        <w:spacing w:after="160"/>
      </w:pPr>
      <w:r>
        <w:rPr>
          <w:sz w:val="22"/>
        </w:rPr>
        <w:t xml:space="preserve">Charge_Per_Month: TotalCharges / (tenure + 1) — an estimate of average monthly spend. Used in EDA to control for tenure when comparing charge levels.</w:t>
      </w:r>
    </w:p>
    <w:p w14:paraId="001000BC" w14:textId="001000BD">
      <w:pPr>
        <w:spacing w:after="240"/>
      </w:pPr>
      <w:r>
        <w:rPr>
          <w:sz w:val="22"/>
        </w:rPr>
        <w:t xml:space="preserve">These engineered features are used exclusively in the EDA and visualisation pages of the application. They are not included in the model feature matrix to prevent data leakage (they are derived from features already in the model).</w:t>
      </w:r>
    </w:p>
    <w:p w14:paraId="001000BE" w14:textId="001000BF">
      <w:pPr>
        <w:pStyle w:val="Heading1"/>
        <w:spacing w:after="120"/>
      </w:pPr>
      <w:r>
        <w:rPr/>
        <w:t xml:space="preserve">9. Model Development &amp; Evaluation</w:t>
      </w:r>
    </w:p>
    <w:p w14:paraId="001000C0" w14:textId="001000C1">
      <w:pPr>
        <w:pStyle w:val="Heading2"/>
        <w:spacing w:after="80"/>
      </w:pPr>
      <w:r>
        <w:rPr/>
        <w:t xml:space="preserve">9.1 Experimental Setup</w:t>
      </w:r>
    </w:p>
    <w:p w14:paraId="001000C2" w14:textId="001000C3">
      <w:pPr>
        <w:spacing w:after="160"/>
      </w:pPr>
      <w:r>
        <w:rPr>
          <w:sz w:val="22"/>
        </w:rPr>
        <w:t xml:space="preserve">All models were trained on 80% of the data (5,634 samples) and evaluated on a held-out 20% test set (1,409 samples). Stratified splitting ensures the churn ratio (~26.54%) is preserved in both splits. Random seed 42 used throughout for reproducibility.</w:t>
      </w:r>
    </w:p>
    <w:p w14:paraId="001000C4" w14:textId="001000C5">
      <w:pPr>
        <w:pStyle w:val="Heading2"/>
        <w:spacing w:after="120"/>
      </w:pPr>
      <w:r>
        <w:rPr/>
        <w:t xml:space="preserve">9.2 Model Results (Actual Test Set Performance)</w:t>
      </w:r>
    </w:p>
    <w:tbl>
      <w:tblPr>
        <w:tblW w:w="5000" w:type="pct"/>
        <w:tblBorders>
          <w:top w:val="single" w:sz="4"/>
          <w:left w:val="single" w:sz="4"/>
          <w:bottom w:val="single" w:sz="4"/>
          <w:right w:val="single" w:sz="4"/>
          <w:insideH w:val="single" w:sz="4"/>
          <w:insideV w:val="single" w:sz="4"/>
        </w:tblBorders>
      </w:tblPr>
      <w:tblGrid>
        <w:gridCol w:w="1384"/>
        <w:gridCol w:w="1384"/>
        <w:gridCol w:w="1384"/>
        <w:gridCol w:w="1384"/>
        <w:gridCol w:w="1384"/>
        <w:gridCol w:w="1384"/>
      </w:tblGrid>
      <w:tr>
        <w:trPr>
          <w:tblHeader/>
        </w:trPr>
        <w:tc>
          <w:p w14:paraId="001000C6" w14:textId="001000C7">
            <w:r>
              <w:t xml:space="preserve">Model</w:t>
            </w:r>
          </w:p>
        </w:tc>
        <w:tc>
          <w:p w14:paraId="001000C8" w14:textId="001000C9">
            <w:r>
              <w:t xml:space="preserve">Accuracy</w:t>
            </w:r>
          </w:p>
        </w:tc>
        <w:tc>
          <w:p w14:paraId="001000CA" w14:textId="001000CB">
            <w:r>
              <w:t xml:space="preserve">Precision</w:t>
            </w:r>
          </w:p>
        </w:tc>
        <w:tc>
          <w:p w14:paraId="001000CC" w14:textId="001000CD">
            <w:r>
              <w:t xml:space="preserve">Recall</w:t>
            </w:r>
          </w:p>
        </w:tc>
        <w:tc>
          <w:p w14:paraId="001000CE" w14:textId="001000CF">
            <w:r>
              <w:t xml:space="preserve">F1-Score</w:t>
            </w:r>
          </w:p>
        </w:tc>
        <w:tc>
          <w:p w14:paraId="001000D0" w14:textId="001000D1">
            <w:r>
              <w:t xml:space="preserve">ROC-AUC</w:t>
            </w:r>
          </w:p>
        </w:tc>
      </w:tr>
      <w:tr>
        <w:trPr/>
        <w:tc>
          <w:p w14:paraId="001000D2" w14:textId="001000D3">
            <w:r>
              <w:t xml:space="preserve">Logistic Regression</w:t>
            </w:r>
          </w:p>
        </w:tc>
        <w:tc>
          <w:p w14:paraId="001000D4" w14:textId="001000D5">
            <w:r>
              <w:t xml:space="preserve">0.7984</w:t>
            </w:r>
          </w:p>
        </w:tc>
        <w:tc>
          <w:p w14:paraId="001000D6" w14:textId="001000D7">
            <w:r>
              <w:t xml:space="preserve">0.6406</w:t>
            </w:r>
          </w:p>
        </w:tc>
        <w:tc>
          <w:p w14:paraId="001000D8" w14:textId="001000D9">
            <w:r>
              <w:t xml:space="preserve">0.5481</w:t>
            </w:r>
          </w:p>
        </w:tc>
        <w:tc>
          <w:p w14:paraId="001000DA" w14:textId="001000DB">
            <w:r>
              <w:t xml:space="preserve">0.5908</w:t>
            </w:r>
          </w:p>
        </w:tc>
        <w:tc>
          <w:p w14:paraId="001000DC" w14:textId="001000DD">
            <w:r>
              <w:t xml:space="preserve">0.8404</w:t>
            </w:r>
          </w:p>
        </w:tc>
      </w:tr>
      <w:tr>
        <w:trPr/>
        <w:tc>
          <w:p w14:paraId="001000DE" w14:textId="001000DF">
            <w:r>
              <w:t xml:space="preserve">Decision Tree</w:t>
            </w:r>
          </w:p>
        </w:tc>
        <w:tc>
          <w:p w14:paraId="001000E0" w14:textId="001000E1">
            <w:r>
              <w:t xml:space="preserve">0.7842</w:t>
            </w:r>
          </w:p>
        </w:tc>
        <w:tc>
          <w:p w14:paraId="001000E2" w14:textId="001000E3">
            <w:r>
              <w:t xml:space="preserve">0.6036</w:t>
            </w:r>
          </w:p>
        </w:tc>
        <w:tc>
          <w:p w14:paraId="001000E4" w14:textId="001000E5">
            <w:r>
              <w:t xml:space="preserve">0.5455</w:t>
            </w:r>
          </w:p>
        </w:tc>
        <w:tc>
          <w:p w14:paraId="001000E6" w14:textId="001000E7">
            <w:r>
              <w:t xml:space="preserve">0.5730</w:t>
            </w:r>
          </w:p>
        </w:tc>
        <w:tc>
          <w:p w14:paraId="001000E8" w14:textId="001000E9">
            <w:r>
              <w:t xml:space="preserve">0.8246</w:t>
            </w:r>
          </w:p>
        </w:tc>
      </w:tr>
      <w:tr>
        <w:trPr/>
        <w:tc>
          <w:p w14:paraId="001000EA" w14:textId="001000EB">
            <w:r>
              <w:t xml:space="preserve">Random Forest</w:t>
            </w:r>
          </w:p>
        </w:tc>
        <w:tc>
          <w:p w14:paraId="001000EC" w14:textId="001000ED">
            <w:r>
              <w:t xml:space="preserve">0.7885</w:t>
            </w:r>
          </w:p>
        </w:tc>
        <w:tc>
          <w:p w14:paraId="001000EE" w14:textId="001000EF">
            <w:r>
              <w:t xml:space="preserve">0.6301</w:t>
            </w:r>
          </w:p>
        </w:tc>
        <w:tc>
          <w:p w14:paraId="001000F0" w14:textId="001000F1">
            <w:r>
              <w:t xml:space="preserve">0.4920</w:t>
            </w:r>
          </w:p>
        </w:tc>
        <w:tc>
          <w:p w14:paraId="001000F2" w14:textId="001000F3">
            <w:r>
              <w:t xml:space="preserve">0.5526</w:t>
            </w:r>
          </w:p>
        </w:tc>
        <w:tc>
          <w:p w14:paraId="001000F4" w14:textId="001000F5">
            <w:r>
              <w:t xml:space="preserve">0.8256</w:t>
            </w:r>
          </w:p>
        </w:tc>
      </w:tr>
      <w:tr>
        <w:trPr/>
        <w:tc>
          <w:p w14:paraId="001000F6" w14:textId="001000F7">
            <w:r>
              <w:t xml:space="preserve">Gradient Boosting (BEST)</w:t>
            </w:r>
          </w:p>
        </w:tc>
        <w:tc>
          <w:p w14:paraId="001000F8" w14:textId="001000F9">
            <w:r>
              <w:t xml:space="preserve">0.7999</w:t>
            </w:r>
          </w:p>
        </w:tc>
        <w:tc>
          <w:p w14:paraId="001000FA" w14:textId="001000FB">
            <w:r>
              <w:t xml:space="preserve">0.6554</w:t>
            </w:r>
          </w:p>
        </w:tc>
        <w:tc>
          <w:p w14:paraId="001000FC" w14:textId="001000FD">
            <w:r>
              <w:t xml:space="preserve">0.5187</w:t>
            </w:r>
          </w:p>
        </w:tc>
        <w:tc>
          <w:p w14:paraId="001000FE" w14:textId="001000FF">
            <w:r>
              <w:t xml:space="preserve">0.5791</w:t>
            </w:r>
          </w:p>
        </w:tc>
        <w:tc>
          <w:p w14:paraId="00100100" w14:textId="00100101">
            <w:r>
              <w:t xml:space="preserve">0.8415</w:t>
            </w:r>
          </w:p>
        </w:tc>
      </w:tr>
      <w:tr>
        <w:trPr/>
        <w:tc>
          <w:p w14:paraId="00100102" w14:textId="00100103">
            <w:r>
              <w:t xml:space="preserve">K-Nearest Neighbors</w:t>
            </w:r>
          </w:p>
        </w:tc>
        <w:tc>
          <w:p w14:paraId="00100104" w14:textId="00100105">
            <w:r>
              <w:t xml:space="preserve">0.7530</w:t>
            </w:r>
          </w:p>
        </w:tc>
        <w:tc>
          <w:p w14:paraId="00100106" w14:textId="00100107">
            <w:r>
              <w:t xml:space="preserve">0.5374</w:t>
            </w:r>
          </w:p>
        </w:tc>
        <w:tc>
          <w:p w14:paraId="00100108" w14:textId="00100109">
            <w:r>
              <w:t xml:space="preserve">0.5000</w:t>
            </w:r>
          </w:p>
        </w:tc>
        <w:tc>
          <w:p w14:paraId="0010010A" w14:textId="0010010B">
            <w:r>
              <w:t xml:space="preserve">0.5180</w:t>
            </w:r>
          </w:p>
        </w:tc>
        <w:tc>
          <w:p w14:paraId="0010010C" w14:textId="0010010D">
            <w:r>
              <w:t xml:space="preserve">0.7745</w:t>
            </w:r>
          </w:p>
        </w:tc>
      </w:tr>
      <w:tr>
        <w:tc>
          <w:p w14:paraId="0010010E" w14:textId="0010010F"/>
        </w:tc>
        <w:tc>
          <w:p w14:paraId="00100110" w14:textId="00100111"/>
        </w:tc>
        <w:tc>
          <w:p w14:paraId="00100112" w14:textId="00100113"/>
        </w:tc>
        <w:tc>
          <w:p w14:paraId="00100114" w14:textId="00100115"/>
        </w:tc>
        <w:tc>
          <w:p w14:paraId="00100116" w14:textId="00100117"/>
        </w:tc>
        <w:tc>
          <w:p w14:paraId="00100118" w14:textId="00100119"/>
        </w:tc>
      </w:tr>
    </w:tbl>
    <w:p w14:paraId="0010011A" w14:textId="0010011B">
      <w:pPr>
        <w:spacing w:after="160"/>
        <w:jc w:val="center"/>
      </w:pPr>
      <w:r>
        <w:rPr>
          <w:color w:val="666666"/>
          <w:sz w:val="20"/>
        </w:rPr>
        <w:t xml:space="preserve">Table 2: Model Performance on Held-out Test Set (20% stratified split, n=1,409)</w:t>
      </w:r>
    </w:p>
    <w:p w14:paraId="0010011C" w14:textId="0010011D">
      <w:pPr>
        <w:pStyle w:val="Heading2"/>
        <w:spacing w:after="80"/>
      </w:pPr>
      <w:r>
        <w:rPr/>
        <w:t xml:space="preserve">9.3 Model Analysis</w:t>
      </w:r>
    </w:p>
    <w:p w14:paraId="0010011E" w14:textId="0010011F">
      <w:pPr>
        <w:spacing w:after="160"/>
      </w:pPr>
      <w:r>
        <w:rPr>
          <w:sz w:val="22"/>
        </w:rPr>
        <w:t xml:space="preserve">Gradient Boosting achieved the best ROC-AUC (0.8415) and accuracy (79.99%), making it the top performer overall. Logistic Regression also performed strongly (ROC-AUC 0.8404) and provides good interpretability through coefficient analysis. Random Forest and Decision Tree showed comparable accuracy but lower recall for the churn class, suggesting they miss more actual churners. K-Nearest Neighbors performed weakest overall (ROC-AUC 0.7745), likely due to the high-dimensional and mixed-type feature space.</w:t>
      </w:r>
    </w:p>
    <w:p w14:paraId="00100120" w14:textId="00100121">
      <w:pPr>
        <w:spacing w:after="240"/>
      </w:pPr>
      <w:r>
        <w:rPr>
          <w:sz w:val="22"/>
        </w:rPr>
        <w:t xml:space="preserve">All models show the trade-off between precision and recall typical of imbalanced classification. For churn prediction in a business context, recall (sensitivity to actual churners) is often prioritised over precision, as the cost of a missed churner (lost revenue) typically exceeds the cost of a false alarm (unnecessary retention offer). The F1-Score balances both.</w:t>
      </w:r>
    </w:p>
    <w:p w14:paraId="00100122" w14:textId="00100123">
      <w:pPr>
        <w:pStyle w:val="Heading1"/>
        <w:spacing w:after="120"/>
      </w:pPr>
      <w:r>
        <w:rPr/>
        <w:t xml:space="preserve">10. Model Comparison</w:t>
      </w:r>
    </w:p>
    <w:p w14:paraId="00100124" w14:textId="00100125">
      <w:pPr>
        <w:spacing w:after="160"/>
      </w:pPr>
      <w:r>
        <w:rPr>
          <w:sz w:val="22"/>
        </w:rPr>
        <w:t xml:space="preserve">Gradient Boosting is recommended as the primary production model due to its highest ROC-AUC (0.8415) and best balance across all metrics. Logistic Regression is the preferred secondary model for interpretability use cases — its ROC-AUC (0.8404) is nearly identical to Gradient Boosting, and its coefficients can be directly inspected. Decision Tree offers the best interpretability (visualisable tree structure) but slightly lower performance.</w:t>
      </w:r>
    </w:p>
    <w:p w14:paraId="00100126" w14:textId="00100127">
      <w:pPr>
        <w:spacing w:after="240"/>
      </w:pPr>
      <w:r>
        <w:rPr>
          <w:sz w:val="22"/>
        </w:rPr>
        <w:t xml:space="preserve">KNN underperforms in this context due to the high-dimensional, mixed categorical-numeric feature space. Distance metrics are less meaningful when many features are label-encoded categoricals. No hyperparameter optimisation was performed — all models used fixed seeds and default/simple configurations. Further improvement is expected with cross-validated grid search.</w:t>
      </w:r>
    </w:p>
    <w:p w14:paraId="00100128" w14:textId="00100129">
      <w:pPr>
        <w:pStyle w:val="Heading1"/>
        <w:spacing w:after="120"/>
      </w:pPr>
      <w:r>
        <w:rPr/>
        <w:t xml:space="preserve">11. Feature Importance &amp; Interpretation</w:t>
      </w:r>
    </w:p>
    <w:p w14:paraId="0010012A" w14:textId="0010012B">
      <w:pPr>
        <w:spacing w:after="160"/>
      </w:pPr>
      <w:r>
        <w:rPr>
          <w:sz w:val="22"/>
        </w:rPr>
        <w:t xml:space="preserve">Feature importance analysis was performed using three methods depending on the model type: (1) Mean decrease in impurity (MDI) for tree-based models (Decision Tree, Random Forest, Gradient Boosting); (2) Absolute coefficient magnitudes for Logistic Regression (using scaled features); (3) Permutation importance for KNN (mean accuracy drop over 10 repeats).</w:t>
      </w:r>
    </w:p>
    <w:p w14:paraId="0010012C" w14:textId="0010012D">
      <w:pPr>
        <w:spacing w:after="160"/>
      </w:pPr>
      <w:r>
        <w:rPr>
          <w:sz w:val="22"/>
        </w:rPr>
        <w:t xml:space="preserve">Consistent findings across models: tenure is the single most important predictive feature. TotalCharges is the second-ranked feature (partially collinear with tenure x MonthlyCharges). MonthlyCharges, Contract type, and InternetService rank 3rd–5th. PaymentMethod and SeniorCitizen also contribute. Gender and PhoneService rank consistently among the lowest-importance features.</w:t>
      </w:r>
    </w:p>
    <w:p w14:paraId="0010012E" w14:textId="0010012F">
      <w:pPr>
        <w:spacing w:after="240"/>
      </w:pPr>
      <w:r>
        <w:rPr>
          <w:sz w:val="22"/>
        </w:rPr>
        <w:t xml:space="preserve">Note on collinearity: TotalCharges is mathematically related to tenure x MonthlyCharges. While this does not bias predictions (models can use correlated features), it affects the interpretation of individual feature importance scores — the importance of tenure and TotalCharges together should be considered as a combined signal.</w:t>
      </w:r>
    </w:p>
    <w:p w14:paraId="00100130" w14:textId="00100131">
      <w:pPr>
        <w:pStyle w:val="Heading1"/>
        <w:spacing w:after="120"/>
      </w:pPr>
      <w:r>
        <w:rPr/>
        <w:t xml:space="preserve">12. Interactive Prediction Interface</w:t>
      </w:r>
    </w:p>
    <w:p w14:paraId="00100132" w14:textId="00100133">
      <w:pPr>
        <w:spacing w:after="160"/>
      </w:pPr>
      <w:r>
        <w:rPr>
          <w:sz w:val="22"/>
        </w:rPr>
        <w:t xml:space="preserve">The Streamlit application includes a full interactive customer prediction interface on the Customer Prediction page. Users can enter values for all 19 model features via dropdown menus and numeric inputs. On form submission, the application: (1) Applies the same LabelEncoder fitted on training data to encode categorical inputs; (2) Applies the fitted StandardScaler for models that require scaling; (3) Calls predict() and predict_proba() on the selected model; (4) Displays the prediction label (Churn / No Churn), churn probability, retention probability, a colour-coded gauge chart, and a risk tier (Low / Medium / High) with a business recommendation.</w:t>
      </w:r>
    </w:p>
    <w:p w14:paraId="00100134" w14:textId="00100135">
      <w:pPr>
        <w:spacing w:after="240"/>
      </w:pPr>
      <w:r>
        <w:rPr>
          <w:sz w:val="22"/>
        </w:rPr>
        <w:t xml:space="preserve">The user can switch between all five trained models using the sidebar selector. The default model is automatically set to the best-performing model by ROC-AUC (Gradient Boosting). The preprocessing pipeline is identical between training and prediction — no manual feature engineering is required from the user.</w:t>
      </w:r>
    </w:p>
    <w:p w14:paraId="00100136" w14:textId="00100137">
      <w:pPr>
        <w:pStyle w:val="Heading1"/>
        <w:spacing w:after="120"/>
      </w:pPr>
      <w:r>
        <w:rPr/>
        <w:t xml:space="preserve">13. Limitations</w:t>
      </w:r>
    </w:p>
    <w:p w14:paraId="00100138" w14:textId="00100139">
      <w:pPr>
        <w:numPr>
          <w:ilvl w:val="0"/>
          <w:numId w:val="4"/>
        </w:numPr>
        <w:spacing w:after="80"/>
      </w:pPr>
      <w:r>
        <w:rPr>
          <w:sz w:val="22"/>
        </w:rPr>
        <w:t xml:space="preserve">Snapshot data: The dataset represents a single point-in-time observation. No temporal trends or seasonality can be modelled. Churn events are binary and retrospective — we do not know how close a non-churned customer is to churning.</w:t>
      </w:r>
    </w:p>
    <w:p w14:paraId="0010013A" w14:textId="0010013B">
      <w:pPr>
        <w:numPr>
          <w:ilvl w:val="0"/>
          <w:numId w:val="4"/>
        </w:numPr>
        <w:spacing w:after="80"/>
      </w:pPr>
      <w:r>
        <w:rPr>
          <w:sz w:val="22"/>
        </w:rPr>
        <w:t xml:space="preserve">Class imbalance: The ~26%/74% churn split introduces moderate imbalance. No oversampling (SMOTE) or class-weight adjustment was applied. Recall for the churn class could be improved with such techniques.</w:t>
      </w:r>
    </w:p>
    <w:p w14:paraId="0010013C" w14:textId="0010013D">
      <w:pPr>
        <w:numPr>
          <w:ilvl w:val="0"/>
          <w:numId w:val="4"/>
        </w:numPr>
        <w:spacing w:after="80"/>
      </w:pPr>
      <w:r>
        <w:rPr>
          <w:sz w:val="22"/>
        </w:rPr>
        <w:t xml:space="preserve">Correlation vs causation: All associations reported are observational. We cannot determine whether, for example, month-to-month contracts cause churn, or whether customers who intend to churn choose month-to-month contracts.</w:t>
      </w:r>
    </w:p>
    <w:p w14:paraId="0010013E" w14:textId="0010013F">
      <w:pPr>
        <w:numPr>
          <w:ilvl w:val="0"/>
          <w:numId w:val="4"/>
        </w:numPr>
        <w:spacing w:after="80"/>
      </w:pPr>
      <w:r>
        <w:rPr>
          <w:sz w:val="22"/>
        </w:rPr>
        <w:t xml:space="preserve">No hyperparameter tuning: Models use simple configurations with fixed random seeds. Cross-validated grid search would likely improve performance, particularly for Gradient Boosting and Random Forest.</w:t>
      </w:r>
    </w:p>
    <w:p w14:paraId="00100140" w14:textId="001001A8">
      <w:pPr>
        <w:numPr>
          <w:ilvl w:val="0"/>
          <w:numId w:val="4"/>
        </w:numPr>
        <w:spacing w:after="80"/>
      </w:pPr>
      <w:r>
        <w:rPr>
          <w:sz w:val="22"/>
        </w:rPr>
        <w:t xml:space="preserve">Synthetic dataset: The dataset is a publicly available Kaggle sample and may not perfectly reflect the distributions and relationships present in real-world telecom data.</w:t>
      </w:r>
    </w:p>
    <w:p w14:paraId="00100142" w14:textId="00100143">
      <w:pPr>
        <w:numPr>
          <w:ilvl w:val="0"/>
          <w:numId w:val="4"/>
        </w:numPr>
        <w:spacing w:after="240"/>
      </w:pPr>
      <w:r>
        <w:rPr>
          <w:sz w:val="22"/>
        </w:rPr>
        <w:t xml:space="preserve">Feature collinearity: TotalCharges = tenure * average MonthlyCharges (approximately). This collinearity affects feature importance interpretation but does not degrade prediction performance.</w:t>
      </w:r>
    </w:p>
    <w:p w14:paraId="00100144" w14:textId="00100145">
      <w:pPr>
        <w:pStyle w:val="Heading1"/>
        <w:spacing w:after="120"/>
      </w:pPr>
      <w:r>
        <w:rPr/>
        <w:t xml:space="preserve">14. Business Recommendations</w:t>
      </w:r>
    </w:p>
    <w:p w14:paraId="00100146" w14:textId="00100147">
      <w:pPr>
        <w:spacing w:after="120"/>
      </w:pPr>
      <w:r>
        <w:rPr>
          <w:b/>
          <w:sz w:val="22"/>
        </w:rPr>
        <w:t xml:space="preserve">The following recommendations are based on patterns observed in the dataset. They are hypotheses for business consideration, not established causal interventions.</w:t>
      </w:r>
    </w:p>
    <w:p w14:paraId="00100148" w14:textId="00100149">
      <w:pPr>
        <w:numPr>
          <w:ilvl w:val="0"/>
          <w:numId w:val="5"/>
        </w:numPr>
        <w:spacing w:after="120"/>
      </w:pPr>
      <w:r>
        <w:rPr>
          <w:sz w:val="22"/>
        </w:rPr>
        <w:t xml:space="preserve">Contract Upgrade Campaigns: The largest differentiator is contract type. Consider targeted incentives to migrate month-to-month customers to one-year or two-year contracts — this is associated with an ~80% reduction in churn rate in this dataset. Early engagement (first 0-12 months) appears especially critical.</w:t>
      </w:r>
    </w:p>
    <w:p w14:paraId="0010014A" w14:textId="0010014B">
      <w:pPr>
        <w:numPr>
          <w:ilvl w:val="0"/>
          <w:numId w:val="5"/>
        </w:numPr>
        <w:spacing w:after="120"/>
      </w:pPr>
      <w:r>
        <w:rPr>
          <w:sz w:val="22"/>
        </w:rPr>
        <w:t xml:space="preserve">New Customer Onboarding: Customers in the 0-12 month band show the highest churn rate. A structured onboarding programme with proactive support and service education may help establish engagement before customers consider switching.</w:t>
      </w:r>
    </w:p>
    <w:p w14:paraId="0010014C" w14:textId="0010014D">
      <w:pPr>
        <w:numPr>
          <w:ilvl w:val="0"/>
          <w:numId w:val="5"/>
        </w:numPr>
        <w:spacing w:after="120"/>
      </w:pPr>
      <w:r>
        <w:rPr>
          <w:sz w:val="22"/>
        </w:rPr>
        <w:t xml:space="preserve">Add-on Service Promotion: Customers with OnlineSecurity and TechSupport are associated with substantially lower churn rates. Promoting these services — potentially through free trials or bundled pricing — may be worth investigating, though the direction of causality is uncertain.</w:t>
      </w:r>
    </w:p>
    <w:p w14:paraId="0010014E" w14:textId="0010014F">
      <w:pPr>
        <w:numPr>
          <w:ilvl w:val="0"/>
          <w:numId w:val="5"/>
        </w:numPr>
        <w:spacing w:after="120"/>
      </w:pPr>
      <w:r>
        <w:rPr>
          <w:sz w:val="22"/>
        </w:rPr>
        <w:t xml:space="preserve">Payment Method Migration: Customers paying by electronic check show the highest observed churn rate. Encouraging migration to automatic payment methods (bank transfer or credit card automatic) — possibly through convenience benefits — is worth evaluating.</w:t>
      </w:r>
    </w:p>
    <w:p w14:paraId="00100150" w14:textId="00100151">
      <w:pPr>
        <w:numPr>
          <w:ilvl w:val="0"/>
          <w:numId w:val="5"/>
        </w:numPr>
        <w:spacing w:after="120"/>
      </w:pPr>
      <w:r>
        <w:rPr>
          <w:sz w:val="22"/>
        </w:rPr>
        <w:t xml:space="preserve">Predictive Retention Scoring: Deploy the Gradient Boosting model (ROC-AUC 0.8415) in production to generate churn probability scores for the customer base monthly. Prioritise retention outreach for customers scoring in the High Risk tier (&gt;60% churn probability). This enables proactive rather than reactive retention.</w:t>
      </w:r>
    </w:p>
    <w:p w14:paraId="00100152" w14:textId="00100153">
      <w:pPr>
        <w:numPr>
          <w:ilvl w:val="0"/>
          <w:numId w:val="5"/>
        </w:numPr>
        <w:spacing w:after="240"/>
      </w:pPr>
      <w:r>
        <w:rPr>
          <w:sz w:val="22"/>
        </w:rPr>
        <w:t xml:space="preserve">Fiber Optic Customer Experience Review: Fiber optic users show 41.9% churn — more than twice the DSL rate. This warrants investigation into whether service quality, pricing, or competition from alternatives is driving this association.</w:t>
      </w:r>
    </w:p>
    <w:p w14:paraId="00100154" w14:textId="00100155">
      <w:pPr>
        <w:pStyle w:val="Heading1"/>
        <w:spacing w:after="120"/>
      </w:pPr>
      <w:r>
        <w:rPr/>
        <w:t xml:space="preserve">15. Conclusion</w:t>
      </w:r>
    </w:p>
    <w:p w14:paraId="00100156" w14:textId="001001A6">
      <w:pPr>
        <w:spacing w:after="160"/>
      </w:pPr>
      <w:r>
        <w:rPr>
          <w:sz w:val="22"/>
        </w:rPr>
        <w:t xml:space="preserve">This project successfully delivered a complete end-to-end telco customer churn analytics and prediction system using the Telco Customer Churn dataset (Kaggle). The Streamlit application provides a comprehensive analytical experience across eight pages: KPI dashboard, data exploration, EDA, business insights, feature engineering, model evaluation, model comparison, and interactive prediction.</w:t>
      </w:r>
    </w:p>
    <w:p w14:paraId="00100158" w14:textId="00100159">
      <w:pPr>
        <w:spacing w:after="160"/>
      </w:pPr>
      <w:r>
        <w:rPr>
          <w:sz w:val="22"/>
        </w:rPr>
        <w:t xml:space="preserve">The overall churn rate in this dataset is 26.54%, with month-to-month contract holders, Fiber optic users, electronic check payers, and short-tenure customers showing the highest observed churn rates. Gradient Boosting achieved the best predictive performance (ROC-AUC 0.8415, Accuracy 79.99%), with tenure, TotalCharges, MonthlyCharges, and Contract type being the most important predictive features.</w:t>
      </w:r>
    </w:p>
    <w:p w14:paraId="0010015A" w14:textId="0010015B">
      <w:pPr>
        <w:spacing w:after="160"/>
      </w:pPr>
      <w:r>
        <w:rPr>
          <w:sz w:val="22"/>
        </w:rPr>
        <w:t xml:space="preserve">The interactive prediction interface enables business users to estimate real-time churn probability for any customer profile using the same preprocessing pipeline as model training, ensuring consistency and preventing data leakage. All findings are clearly labelled as associations to prevent misinterpretation as causal relationships.</w:t>
      </w:r>
    </w:p>
    <w:p w14:paraId="0010015C" w14:textId="0010015D">
      <w:pPr>
        <w:spacing w:after="240"/>
      </w:pPr>
      <w:r>
        <w:rPr>
          <w:sz w:val="22"/>
        </w:rPr>
        <w:t xml:space="preserve">Future work could include: hyperparameter optimisation with cross-validation, class imbalance handling (SMOTE, class weights), additional model architectures (XGBoost, LightGBM, neural networks), time-series cohort analysis if temporal data becomes available, and A/B testing of retention interventions suggested by the model's risk scores.</w:t>
      </w:r>
    </w:p>
    <w:p w14:paraId="0010015E" w14:textId="0010015F">
      <w:pPr>
        <w:pStyle w:val="Heading1"/>
        <w:spacing w:after="120"/>
      </w:pPr>
      <w:r>
        <w:rPr/>
        <w:t xml:space="preserve">Application Pages Reference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60" w14:textId="00100161">
            <w:r>
              <w:t xml:space="preserve">Page</w:t>
            </w:r>
          </w:p>
        </w:tc>
        <w:tc>
          <w:p w14:paraId="00100162" w14:textId="00100163">
            <w:r>
              <w:t xml:space="preserve">Description</w:t>
            </w:r>
          </w:p>
        </w:tc>
      </w:tr>
      <w:tr>
        <w:trPr/>
        <w:tc>
          <w:p w14:paraId="00100164" w14:textId="00100165">
            <w:r>
              <w:t xml:space="preserve">Overview &amp; KPI Dashboard</w:t>
            </w:r>
          </w:p>
        </w:tc>
        <w:tc>
          <w:p w14:paraId="00100166" w14:textId="00100167">
            <w:r>
              <w:t xml:space="preserve">Key metrics, churn distribution pie chart, churn by contract, churn by internet service, tenure and monthly charge distributions</w:t>
            </w:r>
          </w:p>
        </w:tc>
      </w:tr>
      <w:tr>
        <w:trPr/>
        <w:tc>
          <w:p w14:paraId="00100168" w14:textId="00100169">
            <w:r>
              <w:t xml:space="preserve">Data Explorer</w:t>
            </w:r>
          </w:p>
        </w:tc>
        <w:tc>
          <w:p w14:paraId="0010016A" w14:textId="0010016B">
            <w:r>
              <w:t xml:space="preserve">Raw data sample, validation stats, missing value report, column dtypes, descriptive statistics, interactive filter</w:t>
            </w:r>
          </w:p>
        </w:tc>
      </w:tr>
      <w:tr>
        <w:trPr/>
        <w:tc>
          <w:p w14:paraId="0010016C" w14:textId="0010016D">
            <w:r>
              <w:t xml:space="preserve">Exploratory Data Analysis</w:t>
            </w:r>
          </w:p>
        </w:tc>
        <w:tc>
          <w:p w14:paraId="0010016E" w14:textId="0010016F">
            <w:r>
              <w:t xml:space="preserve">Demographics tab, services &amp; contract tab, charges &amp; tenure tab, correlation matrix tab</w:t>
            </w:r>
          </w:p>
        </w:tc>
      </w:tr>
      <w:tr>
        <w:trPr/>
        <w:tc>
          <w:p w14:paraId="00100170" w14:textId="00100171">
            <w:r>
              <w:t xml:space="preserve">Business Insights</w:t>
            </w:r>
          </w:p>
        </w:tc>
        <w:tc>
          <w:p w14:paraId="00100172" w14:textId="00100173">
            <w:r>
              <w:t xml:space="preserve">Answers to 6 business questions with computed statistics and interactive visualisations</w:t>
            </w:r>
          </w:p>
        </w:tc>
      </w:tr>
      <w:tr>
        <w:trPr/>
        <w:tc>
          <w:p w14:paraId="00100174" w14:textId="00100175">
            <w:r>
              <w:t xml:space="preserve">Feature Engineering</w:t>
            </w:r>
          </w:p>
        </w:tc>
        <w:tc>
          <w:p w14:paraId="00100176" w14:textId="00100177">
            <w:r>
              <w:t xml:space="preserve">Engineered feature descriptions, churn rate by Num_Services, heatmap, model feature set listing</w:t>
            </w:r>
          </w:p>
        </w:tc>
      </w:tr>
      <w:tr>
        <w:trPr/>
        <w:tc>
          <w:p w14:paraId="00100178" w14:textId="00100179">
            <w:r>
              <w:t xml:space="preserve">Model Training &amp; Evaluation</w:t>
            </w:r>
          </w:p>
        </w:tc>
        <w:tc>
          <w:p w14:paraId="0010017A" w14:textId="0010017B">
            <w:r>
              <w:t xml:space="preserve">Per-model metrics table, confusion matrix, ROC curve, classification report, feature importance chart</w:t>
            </w:r>
          </w:p>
        </w:tc>
      </w:tr>
      <w:tr>
        <w:trPr/>
        <w:tc>
          <w:p w14:paraId="0010017C" w14:textId="0010017D">
            <w:r>
              <w:t xml:space="preserve">Model Comparison</w:t>
            </w:r>
          </w:p>
        </w:tc>
        <w:tc>
          <w:p w14:paraId="0010017E" w14:textId="0010017F">
            <w:r>
              <w:t xml:space="preserve">Grouped metric bar chart, radar chart, combined ROC curves, summary table with best model highlight</w:t>
            </w:r>
          </w:p>
        </w:tc>
      </w:tr>
      <w:tr>
        <w:trPr/>
        <w:tc>
          <w:p w14:paraId="00100180" w14:textId="00100181">
            <w:r>
              <w:t xml:space="preserve">Customer Prediction</w:t>
            </w:r>
          </w:p>
        </w:tc>
        <w:tc>
          <w:p w14:paraId="00100182" w14:textId="00100183">
            <w:r>
              <w:t xml:space="preserve">Interactive form for all 19 features, prediction label, churn probability gauge, risk tier, business recommendation</w:t>
            </w:r>
          </w:p>
        </w:tc>
      </w:tr>
    </w:tbl>
    <w:p w14:paraId="00100184" w14:textId="00100185">
      <w:pPr>
        <w:spacing w:after="160"/>
        <w:jc w:val="center"/>
      </w:pPr>
      <w:r>
        <w:rPr>
          <w:color w:val="666666"/>
          <w:sz w:val="20"/>
        </w:rPr>
        <w:t xml:space="preserve">Table 3: Streamlit Application Page Summary</w:t>
      </w:r>
    </w:p>
    <w:p w14:paraId="00100186" w14:textId="00100187">
      <w:pPr>
        <w:pStyle w:val="Heading1"/>
        <w:spacing w:after="120"/>
      </w:pPr>
      <w:r>
        <w:rPr/>
        <w:t xml:space="preserve">Project Files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88" w14:textId="00100189">
            <w:r>
              <w:t xml:space="preserve">File</w:t>
            </w:r>
          </w:p>
        </w:tc>
        <w:tc>
          <w:p w14:paraId="0010018A" w14:textId="0010018B">
            <w:r>
              <w:t xml:space="preserve">Description</w:t>
            </w:r>
          </w:p>
        </w:tc>
      </w:tr>
      <w:tr>
        <w:trPr/>
        <w:tc>
          <w:p w14:paraId="0010018C" w14:textId="0010018D">
            <w:r>
              <w:t xml:space="preserve">app.py</w:t>
            </w:r>
          </w:p>
        </w:tc>
        <w:tc>
          <w:p w14:paraId="0010018E" w14:textId="0010018F">
            <w:r>
              <w:t xml:space="preserve">Complete Streamlit application — all Python code in one file (~1,050 lines)</w:t>
            </w:r>
          </w:p>
        </w:tc>
      </w:tr>
      <w:tr>
        <w:trPr/>
        <w:tc>
          <w:p w14:paraId="00100190" w14:textId="00100191">
            <w:r>
              <w:t xml:space="preserve">requirements.txt</w:t>
            </w:r>
          </w:p>
        </w:tc>
        <w:tc>
          <w:p w14:paraId="00100192" w14:textId="00100193">
            <w:r>
              <w:t xml:space="preserve">Python package dependencies required to run app.py</w:t>
            </w:r>
          </w:p>
        </w:tc>
      </w:tr>
      <w:tr>
        <w:trPr/>
        <w:tc>
          <w:p w14:paraId="00100194" w14:textId="00100195">
            <w:r>
              <w:t xml:space="preserve">README.md</w:t>
            </w:r>
          </w:p>
        </w:tc>
        <w:tc>
          <w:p w14:paraId="00100196" w14:textId="00100197">
            <w:r>
              <w:t xml:space="preserve">Project overview, methodology, results, installation instructions, project structure</w:t>
            </w:r>
          </w:p>
        </w:tc>
      </w:tr>
      <w:tr>
        <w:trPr/>
        <w:tc>
          <w:p w14:paraId="00100198" w14:textId="00100199">
            <w:r>
              <w:t xml:space="preserve">project_report.docx</w:t>
            </w:r>
          </w:p>
        </w:tc>
        <w:tc>
          <w:p w14:paraId="0010019A" w14:textId="0010019B">
            <w:r>
              <w:t xml:space="preserve">This detailed professional report</w:t>
            </w:r>
          </w:p>
        </w:tc>
      </w:tr>
      <w:tr>
        <w:trPr/>
        <w:tc>
          <w:p w14:paraId="0010019C" w14:textId="0010019D">
            <w:r>
              <w:t xml:space="preserve">WA_Fn-UseC_-Telco-Customer-Churn.csv</w:t>
            </w:r>
          </w:p>
        </w:tc>
        <w:tc>
          <w:p w14:paraId="0010019E" w14:textId="0010019F">
            <w:r>
              <w:t xml:space="preserve">Source dataset (required at runtime — must be in same directory as app.py)</w:t>
            </w:r>
          </w:p>
        </w:tc>
      </w:tr>
    </w:tbl>
    <w:p w14:paraId="001001A0" w14:textId="001001A1">
      <w:pPr>
        <w:spacing w:after="400"/>
        <w:jc w:val="center"/>
      </w:pPr>
      <w:r>
        <w:rPr>
          <w:color w:val="666666"/>
          <w:sz w:val="20"/>
        </w:rPr>
        <w:t xml:space="preserve">Table 4: Deliverable Files</w:t>
      </w:r>
    </w:p>
    <w:p w14:paraId="001001A2" w14:textId="001001A3">
      <w:pPr>
        <w:spacing w:after="0"/>
        <w:jc w:val="center"/>
      </w:pPr>
      <w:r>
        <w:rPr>
          <w:color w:val="888888"/>
          <w:sz w:val="20"/>
        </w:rPr>
        <w:t xml:space="preserve">This report was generated as part of the Telco Customer Churn Analytics &amp; Prediction project. All statistics and model results are computed from the actual dataset using the application code in app.py.</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 w:type="paragraph" w:styleId="Heading1">
    <w:name w:val="heading 1"/>
    <w:basedOn w:val="Normal"/>
    <w:next w:val="Normal"/>
    <w:uiPriority w:val="9"/>
    <w:qFormat/>
    <w:pPr>
      <w:keepNext/>
      <w:keepLines/>
      <w:spacing w:before="240" w:after="0"/>
      <w:outlineLvl w:val="0"/>
    </w:pPr>
    <w:rPr>
      <w:rFonts w:asciiTheme="majorHAnsi" w:hAnsiTheme="majorHAnsi" w:eastAsiaTheme="majorEastAsia" w:cstheme="majorBidi"/>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rFonts w:asciiTheme="majorHAnsi" w:hAnsiTheme="majorHAnsi" w:eastAsiaTheme="majorEastAsia" w:cstheme="majorBidi"/>
      <w:color w:val="2F5496"/>
      <w:sz w:val="26"/>
      <w:szCs w:val="26"/>
    </w:rPr>
  </w:style>
</w:styles>
</file>

<file path=word/_rels/document.xml.rels>&#65279;<?xml version="1.0" encoding="utf-8"?><Relationships xmlns="http://schemas.openxmlformats.org/package/2006/relationships"><Relationship Type="http://schemas.openxmlformats.org/officeDocument/2006/relationships/settings" Target="/word/settings.xml" Id="Ra5ffbe918a104c12" /><Relationship Type="http://schemas.openxmlformats.org/officeDocument/2006/relationships/styles" Target="/word/styles.xml" Id="Rdb50393c4eca4c08" /><Relationship Type="http://schemas.openxmlformats.org/officeDocument/2006/relationships/theme" Target="/word/theme/theme1.xml" Id="R7da2fe01a0374dd1" /><Relationship Type="http://schemas.openxmlformats.org/officeDocument/2006/relationships/numbering" Target="/word/numbering.xml" Id="R6c2d0ee0700343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2026-09-23T19:56:05Z</dcterms:created>
  <cp:lastModifiedBy>OfficeCLI</cp:lastModifiedBy>
  <dcterms:modified xsi:type="dcterms:W3CDTF">2026-09-23T19:56:05Z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1.0.152</vt:lpwstr>
  </op:property>
  <op:property fmtid="{D5CDD505-2E9C-101B-9397-08002B2CF9AE}" pid="3" name="OfficeCLI.LastModified">
    <vt:lpwstr xmlns:vt="http://schemas.openxmlformats.org/officeDocument/2006/docPropsVTypes">2026-09-23T20:24:52Z</vt:lpwstr>
  </op:property>
</op:Properties>
</file>