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cd0ec8ef06930ab2b27e2b424f83ee82cec1b2"/>
    <w:p>
      <w:pPr>
        <w:pStyle w:val="Heading1"/>
      </w:pPr>
      <w:r>
        <w:t xml:space="preserve">Instrument Accessories and Installation Standards</w:t>
      </w:r>
    </w:p>
    <w:bookmarkStart w:id="20" w:name="introduction"/>
    <w:p>
      <w:pPr>
        <w:pStyle w:val="Heading2"/>
      </w:pPr>
      <w:r>
        <w:t xml:space="preserve">Introduction</w:t>
      </w:r>
    </w:p>
    <w:p>
      <w:pPr>
        <w:pStyle w:val="FirstParagraph"/>
      </w:pPr>
      <w:r>
        <w:t xml:space="preserve">Beyond primary instruments, successful refinery instrumentation depends on quality accessories and meticulous installation. This document covers mounting hardware, impulse tubing, fittings, regulators, enclosures, instrument air systems, cables and junction boxes. These elements ensure that instruments perform reliably in the harsh refinery environment.</w:t>
      </w:r>
    </w:p>
    <w:bookmarkEnd w:id="20"/>
    <w:bookmarkStart w:id="21" w:name="applicable-standards"/>
    <w:p>
      <w:pPr>
        <w:pStyle w:val="Heading2"/>
      </w:pPr>
      <w:r>
        <w:t xml:space="preserve">Applicable Standards</w:t>
      </w:r>
    </w:p>
    <w:p>
      <w:pPr>
        <w:pStyle w:val="FirstParagraph"/>
      </w:pPr>
      <w:r>
        <w:t xml:space="preserve">Accessory components and installation methods must comply with the following standards:</w:t>
      </w:r>
    </w:p>
    <w:p>
      <w:pPr>
        <w:numPr>
          <w:ilvl w:val="0"/>
          <w:numId w:val="1001"/>
        </w:numPr>
        <w:pStyle w:val="Compact"/>
      </w:pPr>
      <w:r>
        <w:rPr>
          <w:bCs/>
          <w:b/>
        </w:rPr>
        <w:t xml:space="preserve">API 551 – Instrument Installation Practices</w:t>
      </w:r>
      <w:r>
        <w:t xml:space="preserve"> </w:t>
      </w:r>
      <w:r>
        <w:t xml:space="preserve">– recommendations for instrument installation in refineries.</w:t>
      </w:r>
    </w:p>
    <w:p>
      <w:pPr>
        <w:numPr>
          <w:ilvl w:val="0"/>
          <w:numId w:val="1001"/>
        </w:numPr>
        <w:pStyle w:val="Compact"/>
      </w:pPr>
      <w:r>
        <w:rPr>
          <w:bCs/>
          <w:b/>
        </w:rPr>
        <w:t xml:space="preserve">ASTM A269 / ASTM A213</w:t>
      </w:r>
      <w:r>
        <w:t xml:space="preserve"> </w:t>
      </w:r>
      <w:r>
        <w:t xml:space="preserve">– specifications for seamless stainless steel tubing used in impulse lines.</w:t>
      </w:r>
    </w:p>
    <w:p>
      <w:pPr>
        <w:numPr>
          <w:ilvl w:val="0"/>
          <w:numId w:val="1001"/>
        </w:numPr>
        <w:pStyle w:val="Compact"/>
      </w:pPr>
      <w:r>
        <w:rPr>
          <w:bCs/>
          <w:b/>
        </w:rPr>
        <w:t xml:space="preserve">ASME B31.3 – Process Piping</w:t>
      </w:r>
      <w:r>
        <w:t xml:space="preserve"> </w:t>
      </w:r>
      <w:r>
        <w:t xml:space="preserve">– piping design, fabrication and materials for process and instrumentation tubing.</w:t>
      </w:r>
    </w:p>
    <w:p>
      <w:pPr>
        <w:numPr>
          <w:ilvl w:val="0"/>
          <w:numId w:val="1001"/>
        </w:numPr>
        <w:pStyle w:val="Compact"/>
      </w:pPr>
      <w:r>
        <w:rPr>
          <w:bCs/>
          <w:b/>
        </w:rPr>
        <w:t xml:space="preserve">ASME B16.5 / ASME B16.34 – Pipe Flanges, Fittings and Valves</w:t>
      </w:r>
      <w:r>
        <w:t xml:space="preserve"> </w:t>
      </w:r>
      <w:r>
        <w:t xml:space="preserve">– dimensional, material and pressure‑rating requirements for flanges and valves used in instrument assemblies【658884660910242†L65-L168】.</w:t>
      </w:r>
    </w:p>
    <w:p>
      <w:pPr>
        <w:numPr>
          <w:ilvl w:val="0"/>
          <w:numId w:val="1001"/>
        </w:numPr>
        <w:pStyle w:val="Compact"/>
      </w:pPr>
      <w:r>
        <w:rPr>
          <w:bCs/>
          <w:b/>
        </w:rPr>
        <w:t xml:space="preserve">ISO 2186 – Connections for Pressure Signal Transmission</w:t>
      </w:r>
      <w:r>
        <w:t xml:space="preserve"> </w:t>
      </w:r>
      <w:r>
        <w:t xml:space="preserve">– design and installation of impulse lines and connections between primary and secondary elements【277453460090202†L533-L540】.</w:t>
      </w:r>
    </w:p>
    <w:p>
      <w:pPr>
        <w:numPr>
          <w:ilvl w:val="0"/>
          <w:numId w:val="1001"/>
        </w:numPr>
        <w:pStyle w:val="Compact"/>
      </w:pPr>
      <w:r>
        <w:rPr>
          <w:bCs/>
          <w:b/>
        </w:rPr>
        <w:t xml:space="preserve">NEMA 250 / IEC 60529 – Enclosure Ratings</w:t>
      </w:r>
      <w:r>
        <w:t xml:space="preserve"> </w:t>
      </w:r>
      <w:r>
        <w:t xml:space="preserve">– ingress protection (IP) and environmental ratings for instrument enclosures【658884660910242†L65-L168】.</w:t>
      </w:r>
    </w:p>
    <w:p>
      <w:pPr>
        <w:numPr>
          <w:ilvl w:val="0"/>
          <w:numId w:val="1001"/>
        </w:numPr>
        <w:pStyle w:val="Compact"/>
      </w:pPr>
      <w:r>
        <w:rPr>
          <w:bCs/>
          <w:b/>
        </w:rPr>
        <w:t xml:space="preserve">IEC 60079 – Electrical Apparatus for Explosive Atmospheres</w:t>
      </w:r>
      <w:r>
        <w:t xml:space="preserve"> </w:t>
      </w:r>
      <w:r>
        <w:t xml:space="preserve">– explosion protection for enclosures and cable glands used in hazardous areas.</w:t>
      </w:r>
    </w:p>
    <w:p>
      <w:pPr>
        <w:numPr>
          <w:ilvl w:val="0"/>
          <w:numId w:val="1001"/>
        </w:numPr>
        <w:pStyle w:val="Compact"/>
      </w:pPr>
      <w:r>
        <w:rPr>
          <w:bCs/>
          <w:b/>
        </w:rPr>
        <w:t xml:space="preserve">ANSI/FCI 70‑2 – Control Valve Seat Leakage</w:t>
      </w:r>
      <w:r>
        <w:t xml:space="preserve"> </w:t>
      </w:r>
      <w:r>
        <w:t xml:space="preserve">– leakage classification for control valves and manifolds used as accessories【961461628046155†L20-L22】.</w:t>
      </w:r>
    </w:p>
    <w:bookmarkEnd w:id="21"/>
    <w:bookmarkStart w:id="22" w:name="accessories"/>
    <w:p>
      <w:pPr>
        <w:pStyle w:val="Heading2"/>
      </w:pPr>
      <w:r>
        <w:t xml:space="preserve">Accessories</w:t>
      </w:r>
    </w:p>
    <w:p>
      <w:pPr>
        <w:numPr>
          <w:ilvl w:val="0"/>
          <w:numId w:val="1002"/>
        </w:numPr>
        <w:pStyle w:val="Compact"/>
      </w:pPr>
      <w:r>
        <w:rPr>
          <w:bCs/>
          <w:b/>
        </w:rPr>
        <w:t xml:space="preserve">Mounting hardware</w:t>
      </w:r>
      <w:r>
        <w:t xml:space="preserve">: brackets, stands and clamps fabricated from 316 SS; designed for rigidity and ease of maintenance.</w:t>
      </w:r>
    </w:p>
    <w:p>
      <w:pPr>
        <w:numPr>
          <w:ilvl w:val="0"/>
          <w:numId w:val="1002"/>
        </w:numPr>
        <w:pStyle w:val="Compact"/>
      </w:pPr>
      <w:r>
        <w:rPr>
          <w:bCs/>
          <w:b/>
        </w:rPr>
        <w:t xml:space="preserve">Impulse tubing</w:t>
      </w:r>
      <w:r>
        <w:t xml:space="preserve">: seamless stainless steel tubing (typically 316 SS, ½ inch OD); used for pressure and DP transmitters; include tube fittings and support saddles.</w:t>
      </w:r>
    </w:p>
    <w:p>
      <w:pPr>
        <w:numPr>
          <w:ilvl w:val="0"/>
          <w:numId w:val="1002"/>
        </w:numPr>
        <w:pStyle w:val="Compact"/>
      </w:pPr>
      <w:r>
        <w:rPr>
          <w:bCs/>
          <w:b/>
        </w:rPr>
        <w:t xml:space="preserve">Manifolds</w:t>
      </w:r>
      <w:r>
        <w:t xml:space="preserve">: 2‑, 3‑ and 5‑valve manifolds for pressure transmitters; body material 316 SS; valve seat materials PTFE or PEEK.</w:t>
      </w:r>
    </w:p>
    <w:p>
      <w:pPr>
        <w:numPr>
          <w:ilvl w:val="0"/>
          <w:numId w:val="1002"/>
        </w:numPr>
        <w:pStyle w:val="Compact"/>
      </w:pPr>
      <w:r>
        <w:rPr>
          <w:bCs/>
          <w:b/>
        </w:rPr>
        <w:t xml:space="preserve">Tube fittings</w:t>
      </w:r>
      <w:r>
        <w:t xml:space="preserve">: double‑ferrule compression fittings; materials matching tubing; rated to design pressure.</w:t>
      </w:r>
    </w:p>
    <w:p>
      <w:pPr>
        <w:numPr>
          <w:ilvl w:val="0"/>
          <w:numId w:val="1002"/>
        </w:numPr>
        <w:pStyle w:val="Compact"/>
      </w:pPr>
      <w:r>
        <w:rPr>
          <w:bCs/>
          <w:b/>
        </w:rPr>
        <w:t xml:space="preserve">Instrument air regulators</w:t>
      </w:r>
      <w:r>
        <w:t xml:space="preserve">: filter/regulator assemblies ensuring clean, dry air at regulated pressure; include pressure gauges and drain.</w:t>
      </w:r>
    </w:p>
    <w:p>
      <w:pPr>
        <w:numPr>
          <w:ilvl w:val="0"/>
          <w:numId w:val="1002"/>
        </w:numPr>
        <w:pStyle w:val="Compact"/>
      </w:pPr>
      <w:r>
        <w:rPr>
          <w:bCs/>
          <w:b/>
        </w:rPr>
        <w:t xml:space="preserve">Instrument enclosures</w:t>
      </w:r>
      <w:r>
        <w:t xml:space="preserve">: explosion‑proof (Ex d), increased safety (Ex e) or purged/pressurised (Ex p) housings; weatherproof (NEMA 4X) for non‑hazardous areas; include sunshades and heaters if required.</w:t>
      </w:r>
    </w:p>
    <w:p>
      <w:pPr>
        <w:numPr>
          <w:ilvl w:val="0"/>
          <w:numId w:val="1002"/>
        </w:numPr>
        <w:pStyle w:val="Compact"/>
      </w:pPr>
      <w:r>
        <w:rPr>
          <w:bCs/>
          <w:b/>
        </w:rPr>
        <w:t xml:space="preserve">Instrument cables</w:t>
      </w:r>
      <w:r>
        <w:t xml:space="preserve">: shielded twisted‑pair analog signal cables, multipair instrumentation cables, fibre optic cables; flame retardant and low smoke properties.</w:t>
      </w:r>
    </w:p>
    <w:p>
      <w:pPr>
        <w:numPr>
          <w:ilvl w:val="0"/>
          <w:numId w:val="1002"/>
        </w:numPr>
        <w:pStyle w:val="Compact"/>
      </w:pPr>
      <w:r>
        <w:rPr>
          <w:bCs/>
          <w:b/>
        </w:rPr>
        <w:t xml:space="preserve">Junction boxes and marshalling cabinets</w:t>
      </w:r>
      <w:r>
        <w:t xml:space="preserve">: stainless steel or GRP boxes with terminals; provide segregation of intrinsically safe, non‑IS and high‑voltage circuits; labelled with terminal numbers.</w:t>
      </w:r>
    </w:p>
    <w:bookmarkEnd w:id="22"/>
    <w:bookmarkStart w:id="23" w:name="installation-guidelines"/>
    <w:p>
      <w:pPr>
        <w:pStyle w:val="Heading2"/>
      </w:pPr>
      <w:r>
        <w:t xml:space="preserve">Installation Guidelines</w:t>
      </w:r>
    </w:p>
    <w:p>
      <w:pPr>
        <w:numPr>
          <w:ilvl w:val="0"/>
          <w:numId w:val="1003"/>
        </w:numPr>
        <w:pStyle w:val="Compact"/>
      </w:pPr>
      <w:r>
        <w:rPr>
          <w:bCs/>
          <w:b/>
        </w:rPr>
        <w:t xml:space="preserve">Mounting</w:t>
      </w:r>
      <w:r>
        <w:t xml:space="preserve"> </w:t>
      </w:r>
      <w:r>
        <w:t xml:space="preserve">– install instruments on dedicated stands or platforms; maintain accessibility; avoid vibration; ensure drainage away from instrument.</w:t>
      </w:r>
    </w:p>
    <w:p>
      <w:pPr>
        <w:numPr>
          <w:ilvl w:val="0"/>
          <w:numId w:val="1003"/>
        </w:numPr>
        <w:pStyle w:val="Compact"/>
      </w:pPr>
      <w:r>
        <w:rPr>
          <w:bCs/>
          <w:b/>
        </w:rPr>
        <w:t xml:space="preserve">Impulse lines</w:t>
      </w:r>
      <w:r>
        <w:t xml:space="preserve"> </w:t>
      </w:r>
      <w:r>
        <w:t xml:space="preserve">– run tubing with gentle bends; slope toward the process for gas service and toward the transmitter for liquid service; use heat tracing and insulation for temperature‑sensitive lines; provide block and bleed valves.</w:t>
      </w:r>
    </w:p>
    <w:p>
      <w:pPr>
        <w:numPr>
          <w:ilvl w:val="0"/>
          <w:numId w:val="1003"/>
        </w:numPr>
        <w:pStyle w:val="Compact"/>
      </w:pPr>
      <w:r>
        <w:rPr>
          <w:bCs/>
          <w:b/>
        </w:rPr>
        <w:t xml:space="preserve">Fittings and manifolds</w:t>
      </w:r>
      <w:r>
        <w:t xml:space="preserve"> </w:t>
      </w:r>
      <w:r>
        <w:t xml:space="preserve">– tighten to manufacturer’s recommended torque; do not mix brands; use thread sealant only where permitted.</w:t>
      </w:r>
    </w:p>
    <w:p>
      <w:pPr>
        <w:numPr>
          <w:ilvl w:val="0"/>
          <w:numId w:val="1003"/>
        </w:numPr>
        <w:pStyle w:val="Compact"/>
      </w:pPr>
      <w:r>
        <w:rPr>
          <w:bCs/>
          <w:b/>
        </w:rPr>
        <w:t xml:space="preserve">Instrument air</w:t>
      </w:r>
      <w:r>
        <w:t xml:space="preserve"> </w:t>
      </w:r>
      <w:r>
        <w:t xml:space="preserve">– supply clean, dry air per ISA 7.0.01; locate regulators close to actuators; include coalescing filters and dryers.</w:t>
      </w:r>
    </w:p>
    <w:p>
      <w:pPr>
        <w:numPr>
          <w:ilvl w:val="0"/>
          <w:numId w:val="1003"/>
        </w:numPr>
        <w:pStyle w:val="Compact"/>
      </w:pPr>
      <w:r>
        <w:rPr>
          <w:bCs/>
          <w:b/>
        </w:rPr>
        <w:t xml:space="preserve">Cabling</w:t>
      </w:r>
      <w:r>
        <w:t xml:space="preserve"> </w:t>
      </w:r>
      <w:r>
        <w:t xml:space="preserve">– route instrument cables in trays or conduit; segregate IS and non‑IS circuits; maintain minimum bend radius; label cables at both ends; use proper cable glands with Ex certification.</w:t>
      </w:r>
    </w:p>
    <w:p>
      <w:pPr>
        <w:numPr>
          <w:ilvl w:val="0"/>
          <w:numId w:val="1003"/>
        </w:numPr>
        <w:pStyle w:val="Compact"/>
      </w:pPr>
      <w:r>
        <w:rPr>
          <w:bCs/>
          <w:b/>
        </w:rPr>
        <w:t xml:space="preserve">Enclosures</w:t>
      </w:r>
      <w:r>
        <w:t xml:space="preserve"> </w:t>
      </w:r>
      <w:r>
        <w:t xml:space="preserve">– orient enclosures to prevent water ingress; seal cable entries; maintain IP rating with gaskets; provide drains in condensation‑prone areas.</w:t>
      </w:r>
    </w:p>
    <w:p>
      <w:pPr>
        <w:numPr>
          <w:ilvl w:val="0"/>
          <w:numId w:val="1003"/>
        </w:numPr>
        <w:pStyle w:val="Compact"/>
      </w:pPr>
      <w:r>
        <w:rPr>
          <w:bCs/>
          <w:b/>
        </w:rPr>
        <w:t xml:space="preserve">Junction boxes</w:t>
      </w:r>
      <w:r>
        <w:t xml:space="preserve"> </w:t>
      </w:r>
      <w:r>
        <w:t xml:space="preserve">– group terminals logically; provide earth bar; ensure spare terminals for future expansion; maintain identification numbers consistent with wiring diagrams.</w:t>
      </w:r>
    </w:p>
    <w:bookmarkEnd w:id="23"/>
    <w:bookmarkStart w:id="24" w:name="calibration-and-testing"/>
    <w:p>
      <w:pPr>
        <w:pStyle w:val="Heading2"/>
      </w:pPr>
      <w:r>
        <w:t xml:space="preserve">Calibration and Testing</w:t>
      </w:r>
    </w:p>
    <w:p>
      <w:pPr>
        <w:numPr>
          <w:ilvl w:val="0"/>
          <w:numId w:val="1004"/>
        </w:numPr>
        <w:pStyle w:val="Compact"/>
      </w:pPr>
      <w:r>
        <w:t xml:space="preserve">After installation, pressure test impulse tubing and fittings for leaks.</w:t>
      </w:r>
    </w:p>
    <w:p>
      <w:pPr>
        <w:numPr>
          <w:ilvl w:val="0"/>
          <w:numId w:val="1004"/>
        </w:numPr>
        <w:pStyle w:val="Compact"/>
      </w:pPr>
      <w:r>
        <w:t xml:space="preserve">Test continuity and insulation resistance of instrument cables.</w:t>
      </w:r>
    </w:p>
    <w:p>
      <w:pPr>
        <w:numPr>
          <w:ilvl w:val="0"/>
          <w:numId w:val="1004"/>
        </w:numPr>
        <w:pStyle w:val="Compact"/>
      </w:pPr>
      <w:r>
        <w:t xml:space="preserve">Verify integrity of enclosure seals and cable glands.</w:t>
      </w:r>
    </w:p>
    <w:bookmarkEnd w:id="24"/>
    <w:bookmarkStart w:id="25" w:name="safety-considerations"/>
    <w:p>
      <w:pPr>
        <w:pStyle w:val="Heading2"/>
      </w:pPr>
      <w:r>
        <w:t xml:space="preserve">Safety Considerations</w:t>
      </w:r>
    </w:p>
    <w:p>
      <w:pPr>
        <w:numPr>
          <w:ilvl w:val="0"/>
          <w:numId w:val="1005"/>
        </w:numPr>
        <w:pStyle w:val="Compact"/>
      </w:pPr>
      <w:r>
        <w:t xml:space="preserve">Select accessories with materials resistant to corrosion, temperature and UV exposure.</w:t>
      </w:r>
    </w:p>
    <w:p>
      <w:pPr>
        <w:numPr>
          <w:ilvl w:val="0"/>
          <w:numId w:val="1005"/>
        </w:numPr>
        <w:pStyle w:val="Compact"/>
      </w:pPr>
      <w:r>
        <w:t xml:space="preserve">For hazardous areas, ensure enclosures and glands have appropriate certifications (e.g., Ex d, Ex e, Ex i).</w:t>
      </w:r>
    </w:p>
    <w:p>
      <w:pPr>
        <w:numPr>
          <w:ilvl w:val="0"/>
          <w:numId w:val="1005"/>
        </w:numPr>
        <w:pStyle w:val="Compact"/>
      </w:pPr>
      <w:r>
        <w:t xml:space="preserve">Use non‑sparking tools when working on IS circuits.</w:t>
      </w:r>
    </w:p>
    <w:p>
      <w:pPr>
        <w:numPr>
          <w:ilvl w:val="0"/>
          <w:numId w:val="1005"/>
        </w:numPr>
        <w:pStyle w:val="Compact"/>
      </w:pPr>
      <w:r>
        <w:t xml:space="preserve">Support tubing and cables to prevent trip hazards.</w:t>
      </w:r>
    </w:p>
    <w:bookmarkEnd w:id="25"/>
    <w:bookmarkStart w:id="26" w:name="data-sheet-requirements"/>
    <w:p>
      <w:pPr>
        <w:pStyle w:val="Heading2"/>
      </w:pPr>
      <w:r>
        <w:t xml:space="preserve">Data Sheet Requirements</w:t>
      </w:r>
    </w:p>
    <w:p>
      <w:pPr>
        <w:pStyle w:val="FirstParagraph"/>
      </w:pPr>
      <w:r>
        <w:t xml:space="preserve">Include accessory tag (if applicable), description, material, size, pressure rating, enclosure type, cable type, certification and installation notes.</w:t>
      </w:r>
    </w:p>
    <w:bookmarkEnd w:id="26"/>
    <w:bookmarkStart w:id="27" w:name="maintenance-and-inspection"/>
    <w:p>
      <w:pPr>
        <w:pStyle w:val="Heading2"/>
      </w:pPr>
      <w:r>
        <w:t xml:space="preserve">Maintenance and Inspection</w:t>
      </w:r>
    </w:p>
    <w:p>
      <w:pPr>
        <w:numPr>
          <w:ilvl w:val="0"/>
          <w:numId w:val="1006"/>
        </w:numPr>
        <w:pStyle w:val="Compact"/>
      </w:pPr>
      <w:r>
        <w:t xml:space="preserve">Inspect tubing and fittings for corrosion, vibration fatigue or leaks; retighten connections as needed.</w:t>
      </w:r>
    </w:p>
    <w:p>
      <w:pPr>
        <w:numPr>
          <w:ilvl w:val="0"/>
          <w:numId w:val="1006"/>
        </w:numPr>
        <w:pStyle w:val="Compact"/>
      </w:pPr>
      <w:r>
        <w:t xml:space="preserve">Clean or replace instrument air filters regularly; drain moisture traps.</w:t>
      </w:r>
    </w:p>
    <w:p>
      <w:pPr>
        <w:numPr>
          <w:ilvl w:val="0"/>
          <w:numId w:val="1006"/>
        </w:numPr>
        <w:pStyle w:val="Compact"/>
      </w:pPr>
      <w:r>
        <w:t xml:space="preserve">Check enclosures for corrosion and gasket deterioration; replace glands or seals showing wear.</w:t>
      </w:r>
    </w:p>
    <w:p>
      <w:pPr>
        <w:numPr>
          <w:ilvl w:val="0"/>
          <w:numId w:val="1006"/>
        </w:numPr>
        <w:pStyle w:val="Compact"/>
      </w:pPr>
      <w:r>
        <w:t xml:space="preserve">Perform periodic cable insulation resistance tests; replace damaged cables.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AF3CA0-B3D0-42E0-9BD6-99B2065113AB}"/>
</file>

<file path=customXml/itemProps2.xml><?xml version="1.0" encoding="utf-8"?>
<ds:datastoreItem xmlns:ds="http://schemas.openxmlformats.org/officeDocument/2006/customXml" ds:itemID="{456C90D2-1BA7-4D92-A1C3-0083DBD37C43}"/>
</file>

<file path=customXml/itemProps3.xml><?xml version="1.0" encoding="utf-8"?>
<ds:datastoreItem xmlns:ds="http://schemas.openxmlformats.org/officeDocument/2006/customXml" ds:itemID="{1B3298F3-F1BF-4A2E-A914-AD209D88795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2026-01-12T03:55:58Z</dcterms:created>
  <dcterms:modified xsi:type="dcterms:W3CDTF">2026-01-12T03:55:58Z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