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analytical-instrumentation-standards"/>
    <w:p>
      <w:pPr>
        <w:pStyle w:val="Heading1"/>
      </w:pPr>
      <w:r>
        <w:t xml:space="preserve">Analytical Instrumentation Standards</w:t>
      </w:r>
    </w:p>
    <w:bookmarkStart w:id="20" w:name="introduction"/>
    <w:p>
      <w:pPr>
        <w:pStyle w:val="Heading2"/>
      </w:pPr>
      <w:r>
        <w:t xml:space="preserve">Introduction</w:t>
      </w:r>
    </w:p>
    <w:p>
      <w:pPr>
        <w:pStyle w:val="FirstParagraph"/>
      </w:pPr>
      <w:r>
        <w:t xml:space="preserve">Analytical instruments provide on‑line measurement of process composition and quality parameters such as pH, conductivity, dissolved oxygen, turbidity, sulphur and gas composition. High‑quality analysers enable continuous control of product specifications and environmental compliance. These standards integrate guidance from API 551 and ISA 5.1, along with detailed specifications for turbidity, pH and dissolved oxygen systems【51948133245220†L4037-L4149】.</w:t>
      </w:r>
    </w:p>
    <w:bookmarkEnd w:id="20"/>
    <w:bookmarkStart w:id="21" w:name="applicable-standards"/>
    <w:p>
      <w:pPr>
        <w:pStyle w:val="Heading2"/>
      </w:pPr>
      <w:r>
        <w:t xml:space="preserve">Applicable Standards</w:t>
      </w:r>
    </w:p>
    <w:p>
      <w:pPr>
        <w:pStyle w:val="FirstParagraph"/>
      </w:pPr>
      <w:r>
        <w:t xml:space="preserve">Analytical instruments must conform to standards governing sampling systems, analyser design and methods of analysis. Key references include:</w:t>
      </w:r>
    </w:p>
    <w:p>
      <w:pPr>
        <w:numPr>
          <w:ilvl w:val="0"/>
          <w:numId w:val="1001"/>
        </w:numPr>
        <w:pStyle w:val="Compact"/>
      </w:pPr>
      <w:r>
        <w:rPr>
          <w:bCs/>
          <w:b/>
        </w:rPr>
        <w:t xml:space="preserve">API 551 – Analytical Instrumentation</w:t>
      </w:r>
      <w:r>
        <w:t xml:space="preserve"> </w:t>
      </w:r>
      <w:r>
        <w:t xml:space="preserve">– selection and installation guidelines for process analysers.</w:t>
      </w:r>
    </w:p>
    <w:p>
      <w:pPr>
        <w:numPr>
          <w:ilvl w:val="0"/>
          <w:numId w:val="1001"/>
        </w:numPr>
        <w:pStyle w:val="Compact"/>
      </w:pPr>
      <w:r>
        <w:rPr>
          <w:bCs/>
          <w:b/>
        </w:rPr>
        <w:t xml:space="preserve">API RP 555 – Process Analyzers</w:t>
      </w:r>
      <w:r>
        <w:t xml:space="preserve"> </w:t>
      </w:r>
      <w:r>
        <w:t xml:space="preserve">– recommended practice detailing the design, installation and maintenance of online analyser systems, sample probes and shelters【658884660910242†L35-L64】.</w:t>
      </w:r>
    </w:p>
    <w:p>
      <w:pPr>
        <w:numPr>
          <w:ilvl w:val="0"/>
          <w:numId w:val="1001"/>
        </w:numPr>
        <w:pStyle w:val="Compact"/>
      </w:pPr>
      <w:r>
        <w:rPr>
          <w:bCs/>
          <w:b/>
        </w:rPr>
        <w:t xml:space="preserve">ISA 5.1 and ISA 20</w:t>
      </w:r>
      <w:r>
        <w:t xml:space="preserve"> </w:t>
      </w:r>
      <w:r>
        <w:t xml:space="preserve">– instrumentation symbols, identification and data sheets.</w:t>
      </w:r>
    </w:p>
    <w:p>
      <w:pPr>
        <w:numPr>
          <w:ilvl w:val="0"/>
          <w:numId w:val="1001"/>
        </w:numPr>
        <w:pStyle w:val="Compact"/>
      </w:pPr>
      <w:r>
        <w:rPr>
          <w:bCs/>
          <w:b/>
        </w:rPr>
        <w:t xml:space="preserve">ASTM D1785</w:t>
      </w:r>
      <w:r>
        <w:t xml:space="preserve"> </w:t>
      </w:r>
      <w:r>
        <w:t xml:space="preserve">– specifications for plastic piping used in sample systems.</w:t>
      </w:r>
    </w:p>
    <w:p>
      <w:pPr>
        <w:numPr>
          <w:ilvl w:val="0"/>
          <w:numId w:val="1001"/>
        </w:numPr>
        <w:pStyle w:val="Compact"/>
      </w:pPr>
      <w:r>
        <w:rPr>
          <w:bCs/>
          <w:b/>
        </w:rPr>
        <w:t xml:space="preserve">ISO 15859 / ISO 2186</w:t>
      </w:r>
      <w:r>
        <w:t xml:space="preserve"> </w:t>
      </w:r>
      <w:r>
        <w:t xml:space="preserve">– sampling lines and sample probes for fluid flow in closed conduits.</w:t>
      </w:r>
    </w:p>
    <w:p>
      <w:pPr>
        <w:numPr>
          <w:ilvl w:val="0"/>
          <w:numId w:val="1001"/>
        </w:numPr>
        <w:pStyle w:val="Compact"/>
      </w:pPr>
      <w:r>
        <w:rPr>
          <w:bCs/>
          <w:b/>
        </w:rPr>
        <w:t xml:space="preserve">EPA and ASTM analytical methods</w:t>
      </w:r>
      <w:r>
        <w:t xml:space="preserve"> </w:t>
      </w:r>
      <w:r>
        <w:t xml:space="preserve">– standard test methods for specific analytes (e.g., ASTM D664 for acid number, ASTM D2622 for sulphur content).</w:t>
      </w:r>
    </w:p>
    <w:bookmarkEnd w:id="21"/>
    <w:bookmarkStart w:id="22" w:name="equipment-types"/>
    <w:p>
      <w:pPr>
        <w:pStyle w:val="Heading2"/>
      </w:pPr>
      <w:r>
        <w:t xml:space="preserve">Equipment Types</w:t>
      </w:r>
    </w:p>
    <w:p>
      <w:pPr>
        <w:numPr>
          <w:ilvl w:val="0"/>
          <w:numId w:val="1002"/>
        </w:numPr>
        <w:pStyle w:val="Compact"/>
      </w:pPr>
      <w:r>
        <w:rPr>
          <w:bCs/>
          <w:b/>
        </w:rPr>
        <w:t xml:space="preserve">Gas chromatographs (GCs)</w:t>
      </w:r>
      <w:r>
        <w:t xml:space="preserve">: on‑line gas chromatographs for hydrocarbon composition, BTU and distillation curves; field‑mounted with shelter; integrated with sample conditioning systems.</w:t>
      </w:r>
    </w:p>
    <w:p>
      <w:pPr>
        <w:numPr>
          <w:ilvl w:val="0"/>
          <w:numId w:val="1002"/>
        </w:numPr>
        <w:pStyle w:val="Compact"/>
      </w:pPr>
      <w:r>
        <w:rPr>
          <w:bCs/>
          <w:b/>
        </w:rPr>
        <w:t xml:space="preserve">Spectroscopic analysers</w:t>
      </w:r>
      <w:r>
        <w:t xml:space="preserve">: infrared (IR), near‑infrared (NIR), ultraviolet (UV), Raman and laser‑based analysers for H₂, H₂S, CO₂, moisture or sulphur.</w:t>
      </w:r>
    </w:p>
    <w:p>
      <w:pPr>
        <w:numPr>
          <w:ilvl w:val="0"/>
          <w:numId w:val="1002"/>
        </w:numPr>
        <w:pStyle w:val="Compact"/>
      </w:pPr>
      <w:r>
        <w:rPr>
          <w:bCs/>
          <w:b/>
        </w:rPr>
        <w:t xml:space="preserve">Electrochemical analysers</w:t>
      </w:r>
      <w:r>
        <w:t xml:space="preserve">: pH, conductivity, oxidation‑reduction potential (ORP) probes; dissolved oxygen and ozone analysers.</w:t>
      </w:r>
    </w:p>
    <w:p>
      <w:pPr>
        <w:numPr>
          <w:ilvl w:val="0"/>
          <w:numId w:val="1002"/>
        </w:numPr>
        <w:pStyle w:val="Compact"/>
      </w:pPr>
      <w:r>
        <w:rPr>
          <w:bCs/>
          <w:b/>
        </w:rPr>
        <w:t xml:space="preserve">Turbidity analysers</w:t>
      </w:r>
      <w:r>
        <w:t xml:space="preserve">: integral or remote turbidimeters measuring NTU with 4–20 mA output and ±2 % accuracy【51948133245220†L4037-L4065】.</w:t>
      </w:r>
    </w:p>
    <w:p>
      <w:pPr>
        <w:numPr>
          <w:ilvl w:val="0"/>
          <w:numId w:val="1002"/>
        </w:numPr>
        <w:pStyle w:val="Compact"/>
      </w:pPr>
      <w:r>
        <w:rPr>
          <w:bCs/>
          <w:b/>
        </w:rPr>
        <w:t xml:space="preserve">Density analysers</w:t>
      </w:r>
      <w:r>
        <w:t xml:space="preserve">: ultrasonic or nuclear density meters for slurry and heavy liquids.</w:t>
      </w:r>
    </w:p>
    <w:p>
      <w:pPr>
        <w:numPr>
          <w:ilvl w:val="0"/>
          <w:numId w:val="1002"/>
        </w:numPr>
        <w:pStyle w:val="Compact"/>
      </w:pPr>
      <w:r>
        <w:rPr>
          <w:bCs/>
          <w:b/>
        </w:rPr>
        <w:t xml:space="preserve">Moisture analysers</w:t>
      </w:r>
      <w:r>
        <w:t xml:space="preserve">: aluminium oxide or quartz crystal sensors for gases; micro moisture transmitters.</w:t>
      </w:r>
    </w:p>
    <w:bookmarkEnd w:id="22"/>
    <w:bookmarkStart w:id="23" w:name="sample-handling-systems"/>
    <w:p>
      <w:pPr>
        <w:pStyle w:val="Heading2"/>
      </w:pPr>
      <w:r>
        <w:t xml:space="preserve">Sample Handling Systems</w:t>
      </w:r>
    </w:p>
    <w:p>
      <w:pPr>
        <w:numPr>
          <w:ilvl w:val="0"/>
          <w:numId w:val="1003"/>
        </w:numPr>
        <w:pStyle w:val="Compact"/>
      </w:pPr>
      <w:r>
        <w:rPr>
          <w:bCs/>
          <w:b/>
        </w:rPr>
        <w:t xml:space="preserve">Sample probes</w:t>
      </w:r>
      <w:r>
        <w:t xml:space="preserve">: fast‑loop or insertion probes; materials compatible with process; incorporate filters and isolation valves.</w:t>
      </w:r>
    </w:p>
    <w:p>
      <w:pPr>
        <w:numPr>
          <w:ilvl w:val="0"/>
          <w:numId w:val="1003"/>
        </w:numPr>
        <w:pStyle w:val="Compact"/>
      </w:pPr>
      <w:r>
        <w:rPr>
          <w:bCs/>
          <w:b/>
        </w:rPr>
        <w:t xml:space="preserve">Sample conditioning</w:t>
      </w:r>
      <w:r>
        <w:t xml:space="preserve">: filtration, temperature and pressure reduction, vapourisation or condensation as required; maintain representative sample to analyser.</w:t>
      </w:r>
    </w:p>
    <w:p>
      <w:pPr>
        <w:numPr>
          <w:ilvl w:val="0"/>
          <w:numId w:val="1003"/>
        </w:numPr>
        <w:pStyle w:val="Compact"/>
      </w:pPr>
      <w:r>
        <w:rPr>
          <w:bCs/>
          <w:b/>
        </w:rPr>
        <w:t xml:space="preserve">Shelters and enclosures</w:t>
      </w:r>
      <w:r>
        <w:t xml:space="preserve">: maintain environmental control (temperature, humidity); provide power and communications.</w:t>
      </w:r>
    </w:p>
    <w:bookmarkEnd w:id="23"/>
    <w:bookmarkStart w:id="24" w:name="selection-and-design-criteria"/>
    <w:p>
      <w:pPr>
        <w:pStyle w:val="Heading2"/>
      </w:pPr>
      <w:r>
        <w:t xml:space="preserve">Selection and Design Criteria</w:t>
      </w:r>
    </w:p>
    <w:p>
      <w:pPr>
        <w:numPr>
          <w:ilvl w:val="0"/>
          <w:numId w:val="1004"/>
        </w:numPr>
        <w:pStyle w:val="Compact"/>
      </w:pPr>
      <w:r>
        <w:rPr>
          <w:bCs/>
          <w:b/>
        </w:rPr>
        <w:t xml:space="preserve">Measurement range and accuracy</w:t>
      </w:r>
      <w:r>
        <w:t xml:space="preserve"> </w:t>
      </w:r>
      <w:r>
        <w:t xml:space="preserve">– select analyser based on detection limit and dynamic range; turbidity analyzers shall have selectable ranges (0–1, 0–3 and 0–30 NTU) and ±2 % accuracy【51948133245220†L4037-L4050】.</w:t>
      </w:r>
    </w:p>
    <w:p>
      <w:pPr>
        <w:numPr>
          <w:ilvl w:val="0"/>
          <w:numId w:val="1004"/>
        </w:numPr>
        <w:pStyle w:val="Compact"/>
      </w:pPr>
      <w:r>
        <w:rPr>
          <w:bCs/>
          <w:b/>
        </w:rPr>
        <w:t xml:space="preserve">Output signal</w:t>
      </w:r>
      <w:r>
        <w:t xml:space="preserve"> </w:t>
      </w:r>
      <w:r>
        <w:t xml:space="preserve">– transmitters shall produce 4–20 mA or digital outputs (Modbus, Ethernet); provide local display for process variable【51948133245220†L4037-L4055】.</w:t>
      </w:r>
    </w:p>
    <w:p>
      <w:pPr>
        <w:numPr>
          <w:ilvl w:val="0"/>
          <w:numId w:val="1004"/>
        </w:numPr>
        <w:pStyle w:val="Compact"/>
      </w:pPr>
      <w:r>
        <w:rPr>
          <w:bCs/>
          <w:b/>
        </w:rPr>
        <w:t xml:space="preserve">Construction</w:t>
      </w:r>
      <w:r>
        <w:t xml:space="preserve"> </w:t>
      </w:r>
      <w:r>
        <w:t xml:space="preserve">– analyser housings shall be corrosion‑resistant and rated for the installation area; sensors must withstand process temperature and pressure.</w:t>
      </w:r>
    </w:p>
    <w:p>
      <w:pPr>
        <w:numPr>
          <w:ilvl w:val="0"/>
          <w:numId w:val="1004"/>
        </w:numPr>
        <w:pStyle w:val="Compact"/>
      </w:pPr>
      <w:r>
        <w:rPr>
          <w:bCs/>
          <w:b/>
        </w:rPr>
        <w:t xml:space="preserve">pH and conductivity systems</w:t>
      </w:r>
      <w:r>
        <w:t xml:space="preserve"> </w:t>
      </w:r>
      <w:r>
        <w:t xml:space="preserve">– sensors shall integrate measuring electrode, reference electrode and temperature compensation; output 4–20 mA; assembly shall allow mounting in flow‑through or submersion【51948133245220†L4109-L4148】.</w:t>
      </w:r>
    </w:p>
    <w:p>
      <w:pPr>
        <w:numPr>
          <w:ilvl w:val="0"/>
          <w:numId w:val="1004"/>
        </w:numPr>
        <w:pStyle w:val="Compact"/>
      </w:pPr>
      <w:r>
        <w:rPr>
          <w:bCs/>
          <w:b/>
        </w:rPr>
        <w:t xml:space="preserve">Dissolved oxygen analysers</w:t>
      </w:r>
      <w:r>
        <w:t xml:space="preserve"> </w:t>
      </w:r>
      <w:r>
        <w:t xml:space="preserve">– membrane electrochemical sensors with gold/silver electrodes; two‑wire transmitters with ±0.25 % span accuracy【51948133245220†L4152-L4172】.</w:t>
      </w:r>
    </w:p>
    <w:p>
      <w:pPr>
        <w:numPr>
          <w:ilvl w:val="0"/>
          <w:numId w:val="1004"/>
        </w:numPr>
        <w:pStyle w:val="Compact"/>
      </w:pPr>
      <w:r>
        <w:rPr>
          <w:bCs/>
          <w:b/>
        </w:rPr>
        <w:t xml:space="preserve">Calibration</w:t>
      </w:r>
      <w:r>
        <w:t xml:space="preserve"> </w:t>
      </w:r>
      <w:r>
        <w:t xml:space="preserve">– provide secondary standards and calibration kits (e.g., Formazin for turbidity)【51948133245220†L4090-L4104】; calibrate analysers per manufacturer’s recommendations.</w:t>
      </w:r>
    </w:p>
    <w:bookmarkEnd w:id="24"/>
    <w:bookmarkStart w:id="25" w:name="installation-guidelines"/>
    <w:p>
      <w:pPr>
        <w:pStyle w:val="Heading2"/>
      </w:pPr>
      <w:r>
        <w:t xml:space="preserve">Installation Guidelines</w:t>
      </w:r>
    </w:p>
    <w:p>
      <w:pPr>
        <w:numPr>
          <w:ilvl w:val="0"/>
          <w:numId w:val="1005"/>
        </w:numPr>
        <w:pStyle w:val="Compact"/>
      </w:pPr>
      <w:r>
        <w:rPr>
          <w:bCs/>
          <w:b/>
        </w:rPr>
        <w:t xml:space="preserve">Location</w:t>
      </w:r>
      <w:r>
        <w:t xml:space="preserve">: install sample take‑off taps at representative points; avoid dead legs and low‑flow regions.</w:t>
      </w:r>
    </w:p>
    <w:p>
      <w:pPr>
        <w:numPr>
          <w:ilvl w:val="0"/>
          <w:numId w:val="1005"/>
        </w:numPr>
        <w:pStyle w:val="Compact"/>
      </w:pPr>
      <w:r>
        <w:rPr>
          <w:bCs/>
          <w:b/>
        </w:rPr>
        <w:t xml:space="preserve">Sample lines</w:t>
      </w:r>
      <w:r>
        <w:t xml:space="preserve">: keep lines short; heat trace if condensation or freezing is possible; use proper materials (stainless steel, PFA).</w:t>
      </w:r>
    </w:p>
    <w:p>
      <w:pPr>
        <w:numPr>
          <w:ilvl w:val="0"/>
          <w:numId w:val="1005"/>
        </w:numPr>
        <w:pStyle w:val="Compact"/>
      </w:pPr>
      <w:r>
        <w:rPr>
          <w:bCs/>
          <w:b/>
        </w:rPr>
        <w:t xml:space="preserve">Enclosures</w:t>
      </w:r>
      <w:r>
        <w:t xml:space="preserve">: mount analysers in temperature‑controlled shelters or cabinets; provide shading and ventilation.</w:t>
      </w:r>
    </w:p>
    <w:p>
      <w:pPr>
        <w:numPr>
          <w:ilvl w:val="0"/>
          <w:numId w:val="1005"/>
        </w:numPr>
        <w:pStyle w:val="Compact"/>
      </w:pPr>
      <w:r>
        <w:rPr>
          <w:bCs/>
          <w:b/>
        </w:rPr>
        <w:t xml:space="preserve">Mounting</w:t>
      </w:r>
      <w:r>
        <w:t xml:space="preserve">: mount sensors vertically where required; ensure proper immersion depth; avoid vibration.</w:t>
      </w:r>
    </w:p>
    <w:bookmarkEnd w:id="25"/>
    <w:bookmarkStart w:id="26" w:name="calibration-and-testing"/>
    <w:p>
      <w:pPr>
        <w:pStyle w:val="Heading2"/>
      </w:pPr>
      <w:r>
        <w:t xml:space="preserve">Calibration and Testing</w:t>
      </w:r>
    </w:p>
    <w:p>
      <w:pPr>
        <w:numPr>
          <w:ilvl w:val="0"/>
          <w:numId w:val="1006"/>
        </w:numPr>
        <w:pStyle w:val="Compact"/>
      </w:pPr>
      <w:r>
        <w:t xml:space="preserve">Establish calibration procedures using certified standards; frequency based on analyser type and criticality.</w:t>
      </w:r>
    </w:p>
    <w:p>
      <w:pPr>
        <w:numPr>
          <w:ilvl w:val="0"/>
          <w:numId w:val="1006"/>
        </w:numPr>
        <w:pStyle w:val="Compact"/>
      </w:pPr>
      <w:r>
        <w:t xml:space="preserve">For pH systems, maintain buffer solutions; perform one‑point or two‑point calibration.</w:t>
      </w:r>
    </w:p>
    <w:p>
      <w:pPr>
        <w:numPr>
          <w:ilvl w:val="0"/>
          <w:numId w:val="1006"/>
        </w:numPr>
        <w:pStyle w:val="Compact"/>
      </w:pPr>
      <w:r>
        <w:t xml:space="preserve">For oxygen analysers, replace membranes and electrolyte as per manufacturer.</w:t>
      </w:r>
    </w:p>
    <w:bookmarkEnd w:id="26"/>
    <w:bookmarkStart w:id="27" w:name="safety-considerations"/>
    <w:p>
      <w:pPr>
        <w:pStyle w:val="Heading2"/>
      </w:pPr>
      <w:r>
        <w:t xml:space="preserve">Safety Considerations</w:t>
      </w:r>
    </w:p>
    <w:p>
      <w:pPr>
        <w:numPr>
          <w:ilvl w:val="0"/>
          <w:numId w:val="1007"/>
        </w:numPr>
        <w:pStyle w:val="Compact"/>
      </w:pPr>
      <w:r>
        <w:t xml:space="preserve">Ensure sample system pressure and temperature are reduced to safe levels; use pressure relief and purge.</w:t>
      </w:r>
    </w:p>
    <w:p>
      <w:pPr>
        <w:numPr>
          <w:ilvl w:val="0"/>
          <w:numId w:val="1007"/>
        </w:numPr>
        <w:pStyle w:val="Compact"/>
      </w:pPr>
      <w:r>
        <w:t xml:space="preserve">In hazardous areas, use explosion‑proof or purged analyser housings and intrinsically safe wiring.</w:t>
      </w:r>
    </w:p>
    <w:p>
      <w:pPr>
        <w:numPr>
          <w:ilvl w:val="0"/>
          <w:numId w:val="1007"/>
        </w:numPr>
        <w:pStyle w:val="Compact"/>
      </w:pPr>
      <w:r>
        <w:t xml:space="preserve">Provide alarm outputs for analyser fault conditions.</w:t>
      </w:r>
    </w:p>
    <w:bookmarkEnd w:id="27"/>
    <w:bookmarkStart w:id="28" w:name="data-sheet-requirements"/>
    <w:p>
      <w:pPr>
        <w:pStyle w:val="Heading2"/>
      </w:pPr>
      <w:r>
        <w:t xml:space="preserve">Data Sheet Requirements</w:t>
      </w:r>
    </w:p>
    <w:p>
      <w:pPr>
        <w:pStyle w:val="FirstParagraph"/>
      </w:pPr>
      <w:r>
        <w:t xml:space="preserve">Identify process stream, analyte, range, accuracy, sample conditions, analyser type, detection method, sample system components, output signal, enclosure rating, utilities (power, air), calibration requirements and hazardous area classification.</w:t>
      </w:r>
    </w:p>
    <w:bookmarkEnd w:id="28"/>
    <w:bookmarkStart w:id="29" w:name="maintenance-and-inspection"/>
    <w:p>
      <w:pPr>
        <w:pStyle w:val="Heading2"/>
      </w:pPr>
      <w:r>
        <w:t xml:space="preserve">Maintenance and Inspection</w:t>
      </w:r>
    </w:p>
    <w:p>
      <w:pPr>
        <w:numPr>
          <w:ilvl w:val="0"/>
          <w:numId w:val="1008"/>
        </w:numPr>
        <w:pStyle w:val="Compact"/>
      </w:pPr>
      <w:r>
        <w:t xml:space="preserve">Inspect and replace sensing elements (membranes, electrodes) regularly.</w:t>
      </w:r>
    </w:p>
    <w:p>
      <w:pPr>
        <w:numPr>
          <w:ilvl w:val="0"/>
          <w:numId w:val="1008"/>
        </w:numPr>
        <w:pStyle w:val="Compact"/>
      </w:pPr>
      <w:r>
        <w:t xml:space="preserve">Flush and clean sample lines; replace filters.</w:t>
      </w:r>
    </w:p>
    <w:p>
      <w:pPr>
        <w:numPr>
          <w:ilvl w:val="0"/>
          <w:numId w:val="1008"/>
        </w:numPr>
        <w:pStyle w:val="Compact"/>
      </w:pPr>
      <w:r>
        <w:t xml:space="preserve">Maintain environmental controls in analyser shelters.</w:t>
      </w:r>
    </w:p>
    <w:p>
      <w:pPr>
        <w:numPr>
          <w:ilvl w:val="0"/>
          <w:numId w:val="1008"/>
        </w:numPr>
        <w:pStyle w:val="Compact"/>
      </w:pPr>
      <w:r>
        <w:t xml:space="preserve">Keep calibration records and maintain spare parts inventory.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778041-265A-4075-B6A8-46764B11CE04}"/>
</file>

<file path=customXml/itemProps2.xml><?xml version="1.0" encoding="utf-8"?>
<ds:datastoreItem xmlns:ds="http://schemas.openxmlformats.org/officeDocument/2006/customXml" ds:itemID="{79E9C9E5-3C0F-4074-AA42-10C2BF54AE48}"/>
</file>

<file path=customXml/itemProps3.xml><?xml version="1.0" encoding="utf-8"?>
<ds:datastoreItem xmlns:ds="http://schemas.openxmlformats.org/officeDocument/2006/customXml" ds:itemID="{C833E56A-32D1-49F7-86CD-DB8E662CD03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2026-01-12T03:55:59Z</dcterms:created>
  <dcterms:modified xsi:type="dcterms:W3CDTF">2026-01-12T03:55:59Z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