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39fc459c123756c25d91ccf76733833993f3dd"/>
    <w:p>
      <w:pPr>
        <w:pStyle w:val="Heading1"/>
      </w:pPr>
      <w:r>
        <w:t xml:space="preserve">Instrumentation Calibration and Maintenance Standards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Regular calibration and maintenance underpin the accuracy and reliability of refinery instrumentation. This document establishes procedures and intervals for calibrating instruments, managing spares and documenting maintenance activities.</w:t>
      </w:r>
    </w:p>
    <w:bookmarkEnd w:id="20"/>
    <w:bookmarkStart w:id="21" w:name="applicable-standards"/>
    <w:p>
      <w:pPr>
        <w:pStyle w:val="Heading2"/>
      </w:pPr>
      <w:r>
        <w:t xml:space="preserve">Applicable Standards</w:t>
      </w:r>
    </w:p>
    <w:p>
      <w:pPr>
        <w:pStyle w:val="FirstParagraph"/>
      </w:pPr>
      <w:r>
        <w:t xml:space="preserve">The following standards define requirements for calibration laboratories, management systems and maintenance practices: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 551 – Instrument Calibration</w:t>
      </w:r>
      <w:r>
        <w:t xml:space="preserve"> </w:t>
      </w:r>
      <w:r>
        <w:t xml:space="preserve">– guidance on calibration procedures for refinery instruments.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 10012 – Measurement Management Systems</w:t>
      </w:r>
      <w:r>
        <w:t xml:space="preserve"> </w:t>
      </w:r>
      <w:r>
        <w:t xml:space="preserve">– requirements for measurement processes and metrological confirmation.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ISO/IEC 17025 / MIL‑STD‑45662A</w:t>
      </w:r>
      <w:r>
        <w:t xml:space="preserve"> </w:t>
      </w:r>
      <w:r>
        <w:t xml:space="preserve">– general requirements for the competence of calibration and testing laboratories and calibration system requirements【257831869405972†L528-L540】.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ANSI/ISA RP 12.6.01 – Maintenance and Testing of Fire &amp; Gas Detectors</w:t>
      </w:r>
      <w:r>
        <w:t xml:space="preserve"> </w:t>
      </w:r>
      <w:r>
        <w:t xml:space="preserve">– recommended practice for testing and maintaining fire and gas detection systems.</w:t>
      </w:r>
    </w:p>
    <w:bookmarkEnd w:id="21"/>
    <w:bookmarkStart w:id="22" w:name="calibration-equipment"/>
    <w:p>
      <w:pPr>
        <w:pStyle w:val="Heading2"/>
      </w:pPr>
      <w:r>
        <w:t xml:space="preserve">Calibration Equipment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Pressure calibrators</w:t>
      </w:r>
      <w:r>
        <w:t xml:space="preserve">: deadweight testers, pressure pumps and electronic calibrators with NIST‑traceable accuracy.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Temperature calibrators</w:t>
      </w:r>
      <w:r>
        <w:t xml:space="preserve">: dry‑block calibrators, fluid baths, reference RTDs and thermocouples.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 calibrators</w:t>
      </w:r>
      <w:r>
        <w:t xml:space="preserve">: primary standards (provers), portable ultrasonic or Coriolis calibrators.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Electrical loop calibrators</w:t>
      </w:r>
      <w:r>
        <w:t xml:space="preserve">: simulate and measure 4–20 mA signals, voltage and resistance.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Communicators</w:t>
      </w:r>
      <w:r>
        <w:t xml:space="preserve">: HART/Fieldbus communicators for configuration and diagnostics.</w:t>
      </w:r>
    </w:p>
    <w:bookmarkEnd w:id="22"/>
    <w:bookmarkStart w:id="23" w:name="calibration-procedures"/>
    <w:p>
      <w:pPr>
        <w:pStyle w:val="Heading2"/>
      </w:pPr>
      <w:r>
        <w:t xml:space="preserve">Calibration Procedures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Schedule</w:t>
      </w:r>
      <w:r>
        <w:t xml:space="preserve"> </w:t>
      </w:r>
      <w:r>
        <w:t xml:space="preserve">– develop a calibration schedule based on criticality, manufacturer recommendations and regulatory requirements. For safety‑critical instruments, calibrate at least annually.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Pre‑calibration check</w:t>
      </w:r>
      <w:r>
        <w:t xml:space="preserve"> </w:t>
      </w:r>
      <w:r>
        <w:t xml:space="preserve">– inspect instrument condition; verify correct installation and absence of damage or leaks.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Calibration points</w:t>
      </w:r>
      <w:r>
        <w:t xml:space="preserve"> </w:t>
      </w:r>
      <w:r>
        <w:t xml:space="preserve">– calibrate at multiple points across the operating range (e.g., 0, 25, 50, 75 and 100 %); record as‑found and as‑left data.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Adjustment</w:t>
      </w:r>
      <w:r>
        <w:t xml:space="preserve"> </w:t>
      </w:r>
      <w:r>
        <w:t xml:space="preserve">– adjust zero, span and linearity using manufacturer procedures; minimise hysteresis.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– record calibration data, date, technician, calibration equipment used and certificates; file in maintenance management system.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Out‑of‑tolerance instruments</w:t>
      </w:r>
      <w:r>
        <w:t xml:space="preserve"> </w:t>
      </w:r>
      <w:r>
        <w:t xml:space="preserve">– remove from service; tag and repair or replace; evaluate process impact and implement corrective action.</w:t>
      </w:r>
    </w:p>
    <w:bookmarkEnd w:id="23"/>
    <w:bookmarkStart w:id="24" w:name="maintenance-practices"/>
    <w:p>
      <w:pPr>
        <w:pStyle w:val="Heading2"/>
      </w:pPr>
      <w:r>
        <w:t xml:space="preserve">Maintenance Practices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Preventive maintenance</w:t>
      </w:r>
      <w:r>
        <w:t xml:space="preserve"> </w:t>
      </w:r>
      <w:r>
        <w:t xml:space="preserve">– perform routine inspections (visual check of cables, enclosures, indications); clean sensors; replace consumables (filters, membranes, diaphragms); lubricate moving parts.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Predictive maintenance</w:t>
      </w:r>
      <w:r>
        <w:t xml:space="preserve"> </w:t>
      </w:r>
      <w:r>
        <w:t xml:space="preserve">– Leverage smart diagnostics from transmitters, analyzers and control valves to monitor health (sensor drift, valve signature, plugged impulse lines) and apply data analytics or artificial intelligence to predict failures; schedule maintenance based on these condition indicators to avoid unplanned downtime.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Corrective maintenance</w:t>
      </w:r>
      <w:r>
        <w:t xml:space="preserve"> </w:t>
      </w:r>
      <w:r>
        <w:t xml:space="preserve">– repair or replace failed instruments promptly; maintain spare parts inventory.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Spare management</w:t>
      </w:r>
      <w:r>
        <w:t xml:space="preserve"> </w:t>
      </w:r>
      <w:r>
        <w:t xml:space="preserve">– maintain a list of critical spares for transmitters, sensors, electronics, regulators and fittings; store in controlled environment.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Calibration tools maintenance</w:t>
      </w:r>
      <w:r>
        <w:t xml:space="preserve"> </w:t>
      </w:r>
      <w:r>
        <w:t xml:space="preserve">– calibrate and certify calibration equipment regularly; store in protective cases; charge batteries and update firmware.</w:t>
      </w:r>
    </w:p>
    <w:bookmarkEnd w:id="24"/>
    <w:bookmarkStart w:id="25" w:name="safety-considerations"/>
    <w:p>
      <w:pPr>
        <w:pStyle w:val="Heading2"/>
      </w:pPr>
      <w:r>
        <w:t xml:space="preserve">Safety Considerations</w:t>
      </w:r>
    </w:p>
    <w:p>
      <w:pPr>
        <w:numPr>
          <w:ilvl w:val="0"/>
          <w:numId w:val="1005"/>
        </w:numPr>
        <w:pStyle w:val="Compact"/>
      </w:pPr>
      <w:r>
        <w:t xml:space="preserve">Follow lockout/tagout procedures before removing instruments.</w:t>
      </w:r>
    </w:p>
    <w:p>
      <w:pPr>
        <w:numPr>
          <w:ilvl w:val="0"/>
          <w:numId w:val="1005"/>
        </w:numPr>
        <w:pStyle w:val="Compact"/>
      </w:pPr>
      <w:r>
        <w:t xml:space="preserve">Vent and depressurise impulse lines before disconnecting.</w:t>
      </w:r>
    </w:p>
    <w:p>
      <w:pPr>
        <w:numPr>
          <w:ilvl w:val="0"/>
          <w:numId w:val="1005"/>
        </w:numPr>
        <w:pStyle w:val="Compact"/>
      </w:pPr>
      <w:r>
        <w:t xml:space="preserve">Use appropriate personal protective equipment (PPE) when working on process equipment.</w:t>
      </w:r>
    </w:p>
    <w:p>
      <w:pPr>
        <w:numPr>
          <w:ilvl w:val="0"/>
          <w:numId w:val="1005"/>
        </w:numPr>
        <w:pStyle w:val="Compact"/>
      </w:pPr>
      <w:r>
        <w:t xml:space="preserve">For hazardous areas, ensure work permits and gas testing are completed.</w:t>
      </w:r>
    </w:p>
    <w:bookmarkEnd w:id="25"/>
    <w:bookmarkStart w:id="26" w:name="training-and-competence"/>
    <w:p>
      <w:pPr>
        <w:pStyle w:val="Heading2"/>
      </w:pPr>
      <w:r>
        <w:t xml:space="preserve">Training and Competence</w:t>
      </w:r>
    </w:p>
    <w:p>
      <w:pPr>
        <w:numPr>
          <w:ilvl w:val="0"/>
          <w:numId w:val="1006"/>
        </w:numPr>
        <w:pStyle w:val="Compact"/>
      </w:pPr>
      <w:r>
        <w:t xml:space="preserve">Calibration and maintenance shall be performed by qualified technicians trained on specific instrument types.</w:t>
      </w:r>
    </w:p>
    <w:p>
      <w:pPr>
        <w:numPr>
          <w:ilvl w:val="0"/>
          <w:numId w:val="1006"/>
        </w:numPr>
        <w:pStyle w:val="Compact"/>
      </w:pPr>
      <w:r>
        <w:t xml:space="preserve">Provide ongoing training on new technologies, safety regulations and maintenance software.</w:t>
      </w:r>
    </w:p>
    <w:bookmarkEnd w:id="26"/>
    <w:bookmarkStart w:id="27" w:name="record-keeping"/>
    <w:p>
      <w:pPr>
        <w:pStyle w:val="Heading2"/>
      </w:pPr>
      <w:r>
        <w:t xml:space="preserve">Record Keeping</w:t>
      </w:r>
    </w:p>
    <w:p>
      <w:pPr>
        <w:numPr>
          <w:ilvl w:val="0"/>
          <w:numId w:val="1007"/>
        </w:numPr>
        <w:pStyle w:val="Compact"/>
      </w:pPr>
      <w:r>
        <w:t xml:space="preserve">Maintain calibration certificates and maintenance records for audit and compliance.</w:t>
      </w:r>
    </w:p>
    <w:p>
      <w:pPr>
        <w:numPr>
          <w:ilvl w:val="0"/>
          <w:numId w:val="1007"/>
        </w:numPr>
        <w:pStyle w:val="Compact"/>
      </w:pPr>
      <w:r>
        <w:t xml:space="preserve">Use computerised maintenance management systems (CMMS) or instrument asset management systems (AMS) for planning and tracking.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E7E61FBED904B92122309BCCA55CC" ma:contentTypeVersion="3" ma:contentTypeDescription="Create a new document." ma:contentTypeScope="" ma:versionID="f45b9f1a2dc1661d112f5b90922c9b36">
  <xsd:schema xmlns:xsd="http://www.w3.org/2001/XMLSchema" xmlns:xs="http://www.w3.org/2001/XMLSchema" xmlns:p="http://schemas.microsoft.com/office/2006/metadata/properties" xmlns:ns2="16f3b03b-d1a1-4173-9409-438e94a8212d" targetNamespace="http://schemas.microsoft.com/office/2006/metadata/properties" ma:root="true" ma:fieldsID="c8b190d5ad8eba2d40942c7220ac700e" ns2:_="">
    <xsd:import namespace="16f3b03b-d1a1-4173-9409-438e94a82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3b03b-d1a1-4173-9409-438e94a821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F7F408-4666-4B30-A601-BC48A330EC4C}"/>
</file>

<file path=customXml/itemProps2.xml><?xml version="1.0" encoding="utf-8"?>
<ds:datastoreItem xmlns:ds="http://schemas.openxmlformats.org/officeDocument/2006/customXml" ds:itemID="{37196D32-B26D-4120-8718-2C0EBC32EF34}"/>
</file>

<file path=customXml/itemProps3.xml><?xml version="1.0" encoding="utf-8"?>
<ds:datastoreItem xmlns:ds="http://schemas.openxmlformats.org/officeDocument/2006/customXml" ds:itemID="{8886624C-ED48-48E0-9611-304B5F677EA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2026-01-12T03:55:59Z</dcterms:created>
  <dcterms:modified xsi:type="dcterms:W3CDTF">2026-01-12T03:55:59Z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0x0101000A2E7E61FBED904B92122309BCCA55CC</vt:lpwstr>
  </property>
</Properties>
</file>