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cf1e24a6d4daf00e7fde0e5f8771a91d95ff815"/>
    <w:p>
      <w:pPr>
        <w:pStyle w:val="Heading1"/>
      </w:pPr>
      <w:r>
        <w:t xml:space="preserve">Condition Monitoring and Metering Standards</w:t>
      </w:r>
    </w:p>
    <w:bookmarkStart w:id="20" w:name="introduction"/>
    <w:p>
      <w:pPr>
        <w:pStyle w:val="Heading2"/>
      </w:pPr>
      <w:r>
        <w:t xml:space="preserve">Introduction</w:t>
      </w:r>
    </w:p>
    <w:p>
      <w:pPr>
        <w:pStyle w:val="FirstParagraph"/>
      </w:pPr>
      <w:r>
        <w:t xml:space="preserve">Condition monitoring instruments provide early warning of equipment degradation, enabling proactive maintenance and avoiding unplanned downtime. Custody transfer and metering systems ensure accurate measurement of hydrocarbons for fiscal and inventory purposes. These standards integrate API, ISO and ASTM requirements.</w:t>
      </w:r>
    </w:p>
    <w:bookmarkEnd w:id="20"/>
    <w:bookmarkStart w:id="21" w:name="applicable-standards"/>
    <w:p>
      <w:pPr>
        <w:pStyle w:val="Heading2"/>
      </w:pPr>
      <w:r>
        <w:t xml:space="preserve">Applicable Standards</w:t>
      </w:r>
    </w:p>
    <w:p>
      <w:pPr>
        <w:pStyle w:val="FirstParagraph"/>
      </w:pPr>
      <w:r>
        <w:t xml:space="preserve">Condition monitoring and custody‑transfer metering systems adhere to the following standards:</w:t>
      </w:r>
    </w:p>
    <w:p>
      <w:pPr>
        <w:numPr>
          <w:ilvl w:val="0"/>
          <w:numId w:val="1001"/>
        </w:numPr>
        <w:pStyle w:val="Compact"/>
      </w:pPr>
      <w:r>
        <w:rPr>
          <w:bCs/>
          <w:b/>
        </w:rPr>
        <w:t xml:space="preserve">API 670 – Machinery Protection Systems</w:t>
      </w:r>
      <w:r>
        <w:t xml:space="preserve"> </w:t>
      </w:r>
      <w:r>
        <w:t xml:space="preserve">– design and performance requirements for machinery protection and monitoring systems【777293428471238†L40-L57】. The fifth edition extends coverage to reciprocating compressors【870819818299868†L489-L497】.</w:t>
      </w:r>
    </w:p>
    <w:p>
      <w:pPr>
        <w:numPr>
          <w:ilvl w:val="0"/>
          <w:numId w:val="1001"/>
        </w:numPr>
        <w:pStyle w:val="Compact"/>
      </w:pPr>
      <w:r>
        <w:rPr>
          <w:bCs/>
          <w:b/>
        </w:rPr>
        <w:t xml:space="preserve">API 618 / API 617 / API 674 / API 686</w:t>
      </w:r>
      <w:r>
        <w:t xml:space="preserve"> </w:t>
      </w:r>
      <w:r>
        <w:t xml:space="preserve">– minimum requirements for reciprocating (API 618), centrifugal (API 617) and positive displacement (API 674) compressors, and general machinery installation practices (API 686); these documents inform vibration and mechanical monitoring for rotating equipment【870819818299868†L527-L540】.</w:t>
      </w:r>
    </w:p>
    <w:p>
      <w:pPr>
        <w:numPr>
          <w:ilvl w:val="0"/>
          <w:numId w:val="1001"/>
        </w:numPr>
        <w:pStyle w:val="Compact"/>
      </w:pPr>
      <w:r>
        <w:rPr>
          <w:bCs/>
          <w:b/>
        </w:rPr>
        <w:t xml:space="preserve">ISO 10816 / ISO 20816 – Vibration Severity</w:t>
      </w:r>
      <w:r>
        <w:t xml:space="preserve"> </w:t>
      </w:r>
      <w:r>
        <w:t xml:space="preserve">– guidelines for evaluating vibration severity of rotating machinery based on historical data and machine class【122980734951316†L100-L109】.</w:t>
      </w:r>
    </w:p>
    <w:p>
      <w:pPr>
        <w:numPr>
          <w:ilvl w:val="0"/>
          <w:numId w:val="1001"/>
        </w:numPr>
        <w:pStyle w:val="Compact"/>
      </w:pPr>
      <w:r>
        <w:rPr>
          <w:bCs/>
          <w:b/>
        </w:rPr>
        <w:t xml:space="preserve">ISO 7919 – Mechanical Vibration of Rotating Shafts</w:t>
      </w:r>
      <w:r>
        <w:t xml:space="preserve"> </w:t>
      </w:r>
      <w:r>
        <w:t xml:space="preserve">– provides evaluation criteria and allowable shaft vibration levels for various classes of machines, including steam turbines and gas turbines【552046338830262†L104-L107】.</w:t>
      </w:r>
    </w:p>
    <w:p>
      <w:pPr>
        <w:numPr>
          <w:ilvl w:val="0"/>
          <w:numId w:val="1001"/>
        </w:numPr>
        <w:pStyle w:val="Compact"/>
      </w:pPr>
      <w:r>
        <w:rPr>
          <w:bCs/>
          <w:b/>
        </w:rPr>
        <w:t xml:space="preserve">API MPMS (Manual of Petroleum Measurement Standards) / API 1101 / API 1130 / API 5</w:t>
      </w:r>
      <w:r>
        <w:t xml:space="preserve"> </w:t>
      </w:r>
      <w:r>
        <w:t xml:space="preserve">– standards for custody‑transfer measurement of hydrocarbons, including metering, sampling and calculation procedures【658884660910242†L35-L64】.</w:t>
      </w:r>
    </w:p>
    <w:p>
      <w:pPr>
        <w:numPr>
          <w:ilvl w:val="0"/>
          <w:numId w:val="1001"/>
        </w:numPr>
        <w:pStyle w:val="Compact"/>
      </w:pPr>
      <w:r>
        <w:rPr>
          <w:bCs/>
          <w:b/>
        </w:rPr>
        <w:t xml:space="preserve">IEC 61589 – Condition Monitoring and Diagnostics of Machines</w:t>
      </w:r>
      <w:r>
        <w:t xml:space="preserve"> </w:t>
      </w:r>
      <w:r>
        <w:t xml:space="preserve">– general requirements for condition monitoring instruments and vibration measurement.</w:t>
      </w:r>
    </w:p>
    <w:bookmarkEnd w:id="21"/>
    <w:bookmarkStart w:id="22" w:name="equipment-types"/>
    <w:p>
      <w:pPr>
        <w:pStyle w:val="Heading2"/>
      </w:pPr>
      <w:r>
        <w:t xml:space="preserve">Equipment Types</w:t>
      </w:r>
    </w:p>
    <w:p>
      <w:pPr>
        <w:numPr>
          <w:ilvl w:val="0"/>
          <w:numId w:val="1002"/>
        </w:numPr>
        <w:pStyle w:val="Compact"/>
      </w:pPr>
      <w:r>
        <w:rPr>
          <w:bCs/>
          <w:b/>
        </w:rPr>
        <w:t xml:space="preserve">Vibration monitoring systems</w:t>
      </w:r>
      <w:r>
        <w:t xml:space="preserve">: accelerometers, velocity sensors and proximity probes connected to vibration monitors; provide overall vibration and spectral analysis.</w:t>
      </w:r>
    </w:p>
    <w:p>
      <w:pPr>
        <w:numPr>
          <w:ilvl w:val="0"/>
          <w:numId w:val="1002"/>
        </w:numPr>
        <w:pStyle w:val="Compact"/>
      </w:pPr>
      <w:r>
        <w:rPr>
          <w:bCs/>
          <w:b/>
        </w:rPr>
        <w:t xml:space="preserve">Machine protection systems</w:t>
      </w:r>
      <w:r>
        <w:t xml:space="preserve">: overspeed detectors, bearing temperature and axial displacement sensors.</w:t>
      </w:r>
    </w:p>
    <w:p>
      <w:pPr>
        <w:numPr>
          <w:ilvl w:val="0"/>
          <w:numId w:val="1002"/>
        </w:numPr>
        <w:pStyle w:val="Compact"/>
      </w:pPr>
      <w:r>
        <w:rPr>
          <w:bCs/>
          <w:b/>
        </w:rPr>
        <w:t xml:space="preserve">Acoustic emission and ultrasonic detectors</w:t>
      </w:r>
      <w:r>
        <w:t xml:space="preserve">: detect leaks and valve malfunction.</w:t>
      </w:r>
    </w:p>
    <w:p>
      <w:pPr>
        <w:numPr>
          <w:ilvl w:val="0"/>
          <w:numId w:val="1002"/>
        </w:numPr>
        <w:pStyle w:val="Compact"/>
      </w:pPr>
      <w:r>
        <w:rPr>
          <w:bCs/>
          <w:b/>
        </w:rPr>
        <w:t xml:space="preserve">Custody transfer flowmeters</w:t>
      </w:r>
      <w:r>
        <w:t xml:space="preserve">: Coriolis, ultrasonic, positive displacement or turbine meters with high accuracy (±0.1 %); include temperature and pressure compensation.</w:t>
      </w:r>
    </w:p>
    <w:p>
      <w:pPr>
        <w:numPr>
          <w:ilvl w:val="0"/>
          <w:numId w:val="1002"/>
        </w:numPr>
        <w:pStyle w:val="Compact"/>
      </w:pPr>
      <w:r>
        <w:rPr>
          <w:bCs/>
          <w:b/>
        </w:rPr>
        <w:t xml:space="preserve">Flow computers and provers</w:t>
      </w:r>
      <w:r>
        <w:t xml:space="preserve">: calculate standard volume based on flow, temperature and pressure; interact with flow meter; provide API tickets.</w:t>
      </w:r>
    </w:p>
    <w:bookmarkEnd w:id="22"/>
    <w:bookmarkStart w:id="23" w:name="selection-and-design-criteria"/>
    <w:p>
      <w:pPr>
        <w:pStyle w:val="Heading2"/>
      </w:pPr>
      <w:r>
        <w:t xml:space="preserve">Selection and Design Criteria</w:t>
      </w:r>
    </w:p>
    <w:p>
      <w:pPr>
        <w:numPr>
          <w:ilvl w:val="0"/>
          <w:numId w:val="1003"/>
        </w:numPr>
        <w:pStyle w:val="Compact"/>
      </w:pPr>
      <w:r>
        <w:rPr>
          <w:bCs/>
          <w:b/>
        </w:rPr>
        <w:t xml:space="preserve">Sensor selection</w:t>
      </w:r>
      <w:r>
        <w:t xml:space="preserve"> </w:t>
      </w:r>
      <w:r>
        <w:t xml:space="preserve">– choose vibration sensors based on equipment type; proximity probes for sleeve bearings; accelerometers for rolling element bearings.</w:t>
      </w:r>
    </w:p>
    <w:p>
      <w:pPr>
        <w:numPr>
          <w:ilvl w:val="0"/>
          <w:numId w:val="1003"/>
        </w:numPr>
        <w:pStyle w:val="Compact"/>
      </w:pPr>
      <w:r>
        <w:rPr>
          <w:bCs/>
          <w:b/>
        </w:rPr>
        <w:t xml:space="preserve">Installation</w:t>
      </w:r>
      <w:r>
        <w:t xml:space="preserve"> </w:t>
      </w:r>
      <w:r>
        <w:t xml:space="preserve">– mount sensors rigidly; orient according to axis; route cables in shielded conduit; avoid mechanical resonances.</w:t>
      </w:r>
    </w:p>
    <w:p>
      <w:pPr>
        <w:numPr>
          <w:ilvl w:val="0"/>
          <w:numId w:val="1003"/>
        </w:numPr>
        <w:pStyle w:val="Compact"/>
      </w:pPr>
      <w:r>
        <w:rPr>
          <w:bCs/>
          <w:b/>
        </w:rPr>
        <w:t xml:space="preserve">Monitoring system</w:t>
      </w:r>
      <w:r>
        <w:t xml:space="preserve"> </w:t>
      </w:r>
      <w:r>
        <w:t xml:space="preserve">– select monitors capable of trip and alarm setpoints; provide buffered outputs for data analysis; support Modbus or Ethernet communication.</w:t>
      </w:r>
    </w:p>
    <w:p>
      <w:pPr>
        <w:numPr>
          <w:ilvl w:val="0"/>
          <w:numId w:val="1003"/>
        </w:numPr>
        <w:pStyle w:val="Compact"/>
      </w:pPr>
      <w:r>
        <w:rPr>
          <w:bCs/>
          <w:b/>
        </w:rPr>
        <w:t xml:space="preserve">Custody metering</w:t>
      </w:r>
      <w:r>
        <w:t xml:space="preserve"> </w:t>
      </w:r>
      <w:r>
        <w:t xml:space="preserve">– select meters approved for custody transfer; size for expected flow rate with 25–75 % utilisation; ensure compliance with API MPMS.</w:t>
      </w:r>
    </w:p>
    <w:p>
      <w:pPr>
        <w:numPr>
          <w:ilvl w:val="0"/>
          <w:numId w:val="1003"/>
        </w:numPr>
        <w:pStyle w:val="Compact"/>
      </w:pPr>
      <w:r>
        <w:rPr>
          <w:bCs/>
          <w:b/>
        </w:rPr>
        <w:t xml:space="preserve">Flow computers</w:t>
      </w:r>
      <w:r>
        <w:t xml:space="preserve"> </w:t>
      </w:r>
      <w:r>
        <w:t xml:space="preserve">– choose units with high‑accuracy digital processing; include diagnostics; interface with supervisory systems; maintain local ticket printer.</w:t>
      </w:r>
    </w:p>
    <w:bookmarkEnd w:id="23"/>
    <w:bookmarkStart w:id="24" w:name="installation-guidelines"/>
    <w:p>
      <w:pPr>
        <w:pStyle w:val="Heading2"/>
      </w:pPr>
      <w:r>
        <w:t xml:space="preserve">Installation Guidelines</w:t>
      </w:r>
    </w:p>
    <w:p>
      <w:pPr>
        <w:numPr>
          <w:ilvl w:val="0"/>
          <w:numId w:val="1004"/>
        </w:numPr>
        <w:pStyle w:val="Compact"/>
      </w:pPr>
      <w:r>
        <w:rPr>
          <w:bCs/>
          <w:b/>
        </w:rPr>
        <w:t xml:space="preserve">Vibration sensors</w:t>
      </w:r>
      <w:r>
        <w:t xml:space="preserve">: mount according to manufacturer (e.g., flush mount for proximity probes); protect cables; calibrate transducer gaps.</w:t>
      </w:r>
    </w:p>
    <w:p>
      <w:pPr>
        <w:numPr>
          <w:ilvl w:val="0"/>
          <w:numId w:val="1004"/>
        </w:numPr>
        <w:pStyle w:val="Compact"/>
      </w:pPr>
      <w:r>
        <w:rPr>
          <w:bCs/>
          <w:b/>
        </w:rPr>
        <w:t xml:space="preserve">Monitoring cabinets</w:t>
      </w:r>
      <w:r>
        <w:t xml:space="preserve">: locate in vibration‑free environment; provide UPS power; ensure ambient temperature within equipment specification.</w:t>
      </w:r>
    </w:p>
    <w:p>
      <w:pPr>
        <w:numPr>
          <w:ilvl w:val="0"/>
          <w:numId w:val="1004"/>
        </w:numPr>
        <w:pStyle w:val="Compact"/>
      </w:pPr>
      <w:r>
        <w:rPr>
          <w:bCs/>
          <w:b/>
        </w:rPr>
        <w:t xml:space="preserve">Custody metering skids</w:t>
      </w:r>
      <w:r>
        <w:t xml:space="preserve">: install with upstream strainers, straight runs and flow conditioners; include prover connections; insulate where required.</w:t>
      </w:r>
    </w:p>
    <w:p>
      <w:pPr>
        <w:numPr>
          <w:ilvl w:val="0"/>
          <w:numId w:val="1004"/>
        </w:numPr>
        <w:pStyle w:val="Compact"/>
      </w:pPr>
      <w:r>
        <w:rPr>
          <w:bCs/>
          <w:b/>
        </w:rPr>
        <w:t xml:space="preserve">Grounding</w:t>
      </w:r>
      <w:r>
        <w:t xml:space="preserve">: follow IEEE 518; ground shields at one point; avoid loops.</w:t>
      </w:r>
    </w:p>
    <w:bookmarkEnd w:id="24"/>
    <w:bookmarkStart w:id="25" w:name="calibration-and-testing"/>
    <w:p>
      <w:pPr>
        <w:pStyle w:val="Heading2"/>
      </w:pPr>
      <w:r>
        <w:t xml:space="preserve">Calibration and Testing</w:t>
      </w:r>
    </w:p>
    <w:p>
      <w:pPr>
        <w:numPr>
          <w:ilvl w:val="0"/>
          <w:numId w:val="1005"/>
        </w:numPr>
        <w:pStyle w:val="Compact"/>
      </w:pPr>
      <w:r>
        <w:t xml:space="preserve">Perform factory calibration of sensors and meters; maintain traceable certificates.</w:t>
      </w:r>
    </w:p>
    <w:p>
      <w:pPr>
        <w:numPr>
          <w:ilvl w:val="0"/>
          <w:numId w:val="1005"/>
        </w:numPr>
        <w:pStyle w:val="Compact"/>
      </w:pPr>
      <w:r>
        <w:t xml:space="preserve">Field calibrate flow meters using provers or master meters; verify meter factor regularly.</w:t>
      </w:r>
    </w:p>
    <w:p>
      <w:pPr>
        <w:numPr>
          <w:ilvl w:val="0"/>
          <w:numId w:val="1005"/>
        </w:numPr>
        <w:pStyle w:val="Compact"/>
      </w:pPr>
      <w:r>
        <w:t xml:space="preserve">Calibrate vibration sensors using portable calibrators; verify monitor setpoints.</w:t>
      </w:r>
    </w:p>
    <w:bookmarkEnd w:id="25"/>
    <w:bookmarkStart w:id="26" w:name="safety-considerations"/>
    <w:p>
      <w:pPr>
        <w:pStyle w:val="Heading2"/>
      </w:pPr>
      <w:r>
        <w:t xml:space="preserve">Safety Considerations</w:t>
      </w:r>
    </w:p>
    <w:p>
      <w:pPr>
        <w:numPr>
          <w:ilvl w:val="0"/>
          <w:numId w:val="1006"/>
        </w:numPr>
        <w:pStyle w:val="Compact"/>
      </w:pPr>
      <w:r>
        <w:t xml:space="preserve">Vibration monitors shall trip equipment upon exceeding limits; ensure alarm circuits fail safe.</w:t>
      </w:r>
    </w:p>
    <w:p>
      <w:pPr>
        <w:numPr>
          <w:ilvl w:val="0"/>
          <w:numId w:val="1006"/>
        </w:numPr>
        <w:pStyle w:val="Compact"/>
      </w:pPr>
      <w:r>
        <w:t xml:space="preserve">Custody transfer systems must meet metrological regulations and security (sealing, tamper detection).</w:t>
      </w:r>
    </w:p>
    <w:p>
      <w:pPr>
        <w:numPr>
          <w:ilvl w:val="0"/>
          <w:numId w:val="1006"/>
        </w:numPr>
        <w:pStyle w:val="Compact"/>
      </w:pPr>
      <w:r>
        <w:t xml:space="preserve">Provide redundancy for critical meters and monitors.</w:t>
      </w:r>
    </w:p>
    <w:bookmarkEnd w:id="26"/>
    <w:bookmarkStart w:id="27" w:name="data-sheet-requirements"/>
    <w:p>
      <w:pPr>
        <w:pStyle w:val="Heading2"/>
      </w:pPr>
      <w:r>
        <w:t xml:space="preserve">Data Sheet Requirements</w:t>
      </w:r>
    </w:p>
    <w:p>
      <w:pPr>
        <w:pStyle w:val="FirstParagraph"/>
      </w:pPr>
      <w:r>
        <w:t xml:space="preserve">Include equipment tag, sensor type, measurement range, accuracy, mounting arrangement, output signal, calibration interval, environment rating, hazardous area classification and communication protocol.</w:t>
      </w:r>
    </w:p>
    <w:bookmarkEnd w:id="27"/>
    <w:bookmarkStart w:id="28" w:name="maintenance-and-inspection"/>
    <w:p>
      <w:pPr>
        <w:pStyle w:val="Heading2"/>
      </w:pPr>
      <w:r>
        <w:t xml:space="preserve">Maintenance and Inspection</w:t>
      </w:r>
    </w:p>
    <w:p>
      <w:pPr>
        <w:numPr>
          <w:ilvl w:val="0"/>
          <w:numId w:val="1007"/>
        </w:numPr>
        <w:pStyle w:val="Compact"/>
      </w:pPr>
      <w:r>
        <w:t xml:space="preserve">Inspect and clean sensor mounts; check cable integrity.</w:t>
      </w:r>
    </w:p>
    <w:p>
      <w:pPr>
        <w:numPr>
          <w:ilvl w:val="0"/>
          <w:numId w:val="1007"/>
        </w:numPr>
        <w:pStyle w:val="Compact"/>
      </w:pPr>
      <w:r>
        <w:t xml:space="preserve">Analyse vibration trends; schedule maintenance based on condition indicators (e.g., bearing defect frequencies).</w:t>
      </w:r>
    </w:p>
    <w:p>
      <w:pPr>
        <w:numPr>
          <w:ilvl w:val="0"/>
          <w:numId w:val="1007"/>
        </w:numPr>
        <w:pStyle w:val="Compact"/>
      </w:pPr>
      <w:r>
        <w:t xml:space="preserve">Verify custody meter factor and calibrate provers.</w:t>
      </w:r>
    </w:p>
    <w:p>
      <w:pPr>
        <w:numPr>
          <w:ilvl w:val="0"/>
          <w:numId w:val="1007"/>
        </w:numPr>
        <w:pStyle w:val="Compact"/>
      </w:pPr>
      <w:r>
        <w:t xml:space="preserve">Maintain spare sensors and electronic modules.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E7E61FBED904B92122309BCCA55CC" ma:contentTypeVersion="3" ma:contentTypeDescription="Create a new document." ma:contentTypeScope="" ma:versionID="f45b9f1a2dc1661d112f5b90922c9b36">
  <xsd:schema xmlns:xsd="http://www.w3.org/2001/XMLSchema" xmlns:xs="http://www.w3.org/2001/XMLSchema" xmlns:p="http://schemas.microsoft.com/office/2006/metadata/properties" xmlns:ns2="16f3b03b-d1a1-4173-9409-438e94a8212d" targetNamespace="http://schemas.microsoft.com/office/2006/metadata/properties" ma:root="true" ma:fieldsID="c8b190d5ad8eba2d40942c7220ac700e" ns2:_="">
    <xsd:import namespace="16f3b03b-d1a1-4173-9409-438e94a8212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f3b03b-d1a1-4173-9409-438e94a82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E221CED-D5E8-45BE-9800-89E1B646D63A}"/>
</file>

<file path=customXml/itemProps2.xml><?xml version="1.0" encoding="utf-8"?>
<ds:datastoreItem xmlns:ds="http://schemas.openxmlformats.org/officeDocument/2006/customXml" ds:itemID="{37CAC6E2-858E-41BB-B632-0C0F43C6B167}"/>
</file>

<file path=customXml/itemProps3.xml><?xml version="1.0" encoding="utf-8"?>
<ds:datastoreItem xmlns:ds="http://schemas.openxmlformats.org/officeDocument/2006/customXml" ds:itemID="{D068EFA7-B577-4B03-8BE6-43C4C2463E7C}"/>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2026-01-12T03:56:00Z</dcterms:created>
  <dcterms:modified xsi:type="dcterms:W3CDTF">2026-01-12T03:56:00Z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0x0101000A2E7E61FBED904B92122309BCCA55CC</vt:lpwstr>
  </property>
</Properties>
</file>