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43a42475aa18055ab13ffc2768d32d984362d8"/>
    <w:p>
      <w:pPr>
        <w:pStyle w:val="Heading1"/>
      </w:pPr>
      <w:r>
        <w:t xml:space="preserve">Level Measurement Instrumentation Standards</w:t>
      </w:r>
    </w:p>
    <w:bookmarkStart w:id="20" w:name="introduction"/>
    <w:p>
      <w:pPr>
        <w:pStyle w:val="Heading2"/>
      </w:pPr>
      <w:r>
        <w:t xml:space="preserve">Introduction</w:t>
      </w:r>
    </w:p>
    <w:p>
      <w:pPr>
        <w:pStyle w:val="FirstParagraph"/>
      </w:pPr>
      <w:r>
        <w:t xml:space="preserve">Level measurement is essential for tank inventory management, safety interlocking and process control in refineries. These standards draw on API 551 and industry specifications for differential pressure, ultrasonic, RF admittance, submersible and float‑actuated level instruments【51948133245220†L3300-L3359】.</w:t>
      </w:r>
    </w:p>
    <w:bookmarkEnd w:id="20"/>
    <w:bookmarkStart w:id="21" w:name="applicable-standards"/>
    <w:p>
      <w:pPr>
        <w:pStyle w:val="Heading2"/>
      </w:pPr>
      <w:r>
        <w:t xml:space="preserve">Applicable Standards</w:t>
      </w:r>
    </w:p>
    <w:p>
      <w:pPr>
        <w:pStyle w:val="FirstParagraph"/>
      </w:pPr>
      <w:r>
        <w:t xml:space="preserve">Several standards govern the design, selection and installation of level‑measurement instruments and overfill protection systems:</w:t>
      </w:r>
    </w:p>
    <w:p>
      <w:pPr>
        <w:numPr>
          <w:ilvl w:val="0"/>
          <w:numId w:val="1001"/>
        </w:numPr>
        <w:pStyle w:val="Compact"/>
      </w:pPr>
      <w:r>
        <w:rPr>
          <w:bCs/>
          <w:b/>
        </w:rPr>
        <w:t xml:space="preserve">API 551 – Level Measurement</w:t>
      </w:r>
      <w:r>
        <w:t xml:space="preserve"> </w:t>
      </w:r>
      <w:r>
        <w:t xml:space="preserve">– guidance on selection and installation of level instruments.</w:t>
      </w:r>
    </w:p>
    <w:p>
      <w:pPr>
        <w:numPr>
          <w:ilvl w:val="0"/>
          <w:numId w:val="1001"/>
        </w:numPr>
        <w:pStyle w:val="Compact"/>
      </w:pPr>
      <w:r>
        <w:rPr>
          <w:bCs/>
          <w:b/>
        </w:rPr>
        <w:t xml:space="preserve">ISA 5.1 and ISA 20</w:t>
      </w:r>
      <w:r>
        <w:t xml:space="preserve"> </w:t>
      </w:r>
      <w:r>
        <w:t xml:space="preserve">– symbols and data sheets for level instruments.</w:t>
      </w:r>
    </w:p>
    <w:p>
      <w:pPr>
        <w:numPr>
          <w:ilvl w:val="0"/>
          <w:numId w:val="1001"/>
        </w:numPr>
        <w:pStyle w:val="Compact"/>
      </w:pPr>
      <w:r>
        <w:rPr>
          <w:bCs/>
          <w:b/>
        </w:rPr>
        <w:t xml:space="preserve">IEC 61892 / IEC 60079</w:t>
      </w:r>
      <w:r>
        <w:t xml:space="preserve"> </w:t>
      </w:r>
      <w:r>
        <w:t xml:space="preserve">– requirements for electrical equipment in explosive atmospheres and offshore installations.</w:t>
      </w:r>
    </w:p>
    <w:p>
      <w:pPr>
        <w:numPr>
          <w:ilvl w:val="0"/>
          <w:numId w:val="1001"/>
        </w:numPr>
        <w:pStyle w:val="Compact"/>
      </w:pPr>
      <w:r>
        <w:rPr>
          <w:bCs/>
          <w:b/>
        </w:rPr>
        <w:t xml:space="preserve">ASTM D1248</w:t>
      </w:r>
      <w:r>
        <w:t xml:space="preserve"> </w:t>
      </w:r>
      <w:r>
        <w:t xml:space="preserve">– specifications for polyethylene materials used in float elements.</w:t>
      </w:r>
    </w:p>
    <w:p>
      <w:pPr>
        <w:numPr>
          <w:ilvl w:val="0"/>
          <w:numId w:val="1001"/>
        </w:numPr>
        <w:pStyle w:val="Compact"/>
      </w:pPr>
      <w:r>
        <w:rPr>
          <w:bCs/>
          <w:b/>
        </w:rPr>
        <w:t xml:space="preserve">API 2350 – Overfill Prevention for Storage Tanks</w:t>
      </w:r>
      <w:r>
        <w:t xml:space="preserve"> </w:t>
      </w:r>
      <w:r>
        <w:t xml:space="preserve">– requirements for overfill prevention systems for aboveground storage tanks containing flammable or combustible liquids; defines levels of concern, risk assessment and equipment for automated overfill prevention【102983332253164†L29-L58】.</w:t>
      </w:r>
    </w:p>
    <w:p>
      <w:pPr>
        <w:numPr>
          <w:ilvl w:val="0"/>
          <w:numId w:val="1001"/>
        </w:numPr>
        <w:pStyle w:val="Compact"/>
      </w:pPr>
      <w:r>
        <w:rPr>
          <w:bCs/>
          <w:b/>
        </w:rPr>
        <w:t xml:space="preserve">API RP 550 / API RP 551 – Instrumentation for Refineries</w:t>
      </w:r>
      <w:r>
        <w:t xml:space="preserve"> </w:t>
      </w:r>
      <w:r>
        <w:t xml:space="preserve">– recommended practices for level measurement installation, selection and commissioning in petroleum refineries【658884660910242†L35-L64】.</w:t>
      </w:r>
    </w:p>
    <w:bookmarkEnd w:id="21"/>
    <w:bookmarkStart w:id="22" w:name="equipment-types"/>
    <w:p>
      <w:pPr>
        <w:pStyle w:val="Heading2"/>
      </w:pPr>
      <w:r>
        <w:t xml:space="preserve">Equipment Types</w:t>
      </w:r>
    </w:p>
    <w:p>
      <w:pPr>
        <w:numPr>
          <w:ilvl w:val="0"/>
          <w:numId w:val="1002"/>
        </w:numPr>
        <w:pStyle w:val="Compact"/>
      </w:pPr>
      <w:r>
        <w:rPr>
          <w:bCs/>
          <w:b/>
        </w:rPr>
        <w:t xml:space="preserve">Differential pressure level transmitters</w:t>
      </w:r>
      <w:r>
        <w:t xml:space="preserve">: flanged sensing units with 4–20 mA output and ±0.25 % accuracy【51948133245220†L3300-L3316】.</w:t>
      </w:r>
    </w:p>
    <w:p>
      <w:pPr>
        <w:numPr>
          <w:ilvl w:val="0"/>
          <w:numId w:val="1002"/>
        </w:numPr>
        <w:pStyle w:val="Compact"/>
      </w:pPr>
      <w:r>
        <w:rPr>
          <w:bCs/>
          <w:b/>
        </w:rPr>
        <w:t xml:space="preserve">Ultrasonic level instruments</w:t>
      </w:r>
      <w:r>
        <w:t xml:space="preserve">: non‑contact echo‑time devices for liquids; microprocessor‑based transmitters with temperature compensation and narrow beam angle【51948133245220†L3321-L3359】.</w:t>
      </w:r>
    </w:p>
    <w:p>
      <w:pPr>
        <w:numPr>
          <w:ilvl w:val="0"/>
          <w:numId w:val="1002"/>
        </w:numPr>
        <w:pStyle w:val="Compact"/>
      </w:pPr>
      <w:r>
        <w:rPr>
          <w:bCs/>
          <w:b/>
        </w:rPr>
        <w:t xml:space="preserve">RF admittance/capacitance level transmitters</w:t>
      </w:r>
      <w:r>
        <w:t xml:space="preserve">: sensing element with two‑wire transmitter; unaffected by coatings or conductivity; 4–20 mA output【51948133245220†L3370-L3385】.</w:t>
      </w:r>
    </w:p>
    <w:p>
      <w:pPr>
        <w:numPr>
          <w:ilvl w:val="0"/>
          <w:numId w:val="1002"/>
        </w:numPr>
        <w:pStyle w:val="Compact"/>
      </w:pPr>
      <w:r>
        <w:rPr>
          <w:bCs/>
          <w:b/>
        </w:rPr>
        <w:t xml:space="preserve">Submersible hydrostatic transmitters</w:t>
      </w:r>
      <w:r>
        <w:t xml:space="preserve">: strain‑gauge transducers suspended in tanks; remote mounted transmitter producing 4–20 mA output【51948133245220†L3410-L3441】.</w:t>
      </w:r>
    </w:p>
    <w:p>
      <w:pPr>
        <w:numPr>
          <w:ilvl w:val="0"/>
          <w:numId w:val="1002"/>
        </w:numPr>
        <w:pStyle w:val="Compact"/>
      </w:pPr>
      <w:r>
        <w:rPr>
          <w:bCs/>
          <w:b/>
        </w:rPr>
        <w:t xml:space="preserve">Float‑actuated level transmitters</w:t>
      </w:r>
      <w:r>
        <w:t xml:space="preserve">: tape or cable‑suspended float measuring devices; 4–20 mA output into 700 ohms【51948133245220†L3446-L3450】.</w:t>
      </w:r>
    </w:p>
    <w:p>
      <w:pPr>
        <w:numPr>
          <w:ilvl w:val="0"/>
          <w:numId w:val="1002"/>
        </w:numPr>
        <w:pStyle w:val="Compact"/>
      </w:pPr>
      <w:r>
        <w:rPr>
          <w:bCs/>
          <w:b/>
        </w:rPr>
        <w:t xml:space="preserve">Level switches</w:t>
      </w:r>
      <w:r>
        <w:t xml:space="preserve">: point level detection using floats, displacers, ultrasonic, RF admittance or vibrating forks.</w:t>
      </w:r>
    </w:p>
    <w:p>
      <w:pPr>
        <w:numPr>
          <w:ilvl w:val="0"/>
          <w:numId w:val="1002"/>
        </w:numPr>
        <w:pStyle w:val="Compact"/>
      </w:pPr>
      <w:r>
        <w:rPr>
          <w:bCs/>
          <w:b/>
        </w:rPr>
        <w:t xml:space="preserve">Tank gauging systems</w:t>
      </w:r>
      <w:r>
        <w:t xml:space="preserve">: servo and radar gauges for custody transfer and tank inventory.</w:t>
      </w:r>
    </w:p>
    <w:bookmarkEnd w:id="22"/>
    <w:bookmarkStart w:id="23" w:name="selection-and-design-criteria"/>
    <w:p>
      <w:pPr>
        <w:pStyle w:val="Heading2"/>
      </w:pPr>
      <w:r>
        <w:t xml:space="preserve">Selection and Design Criteria</w:t>
      </w:r>
    </w:p>
    <w:p>
      <w:pPr>
        <w:numPr>
          <w:ilvl w:val="0"/>
          <w:numId w:val="1003"/>
        </w:numPr>
        <w:pStyle w:val="Compact"/>
      </w:pPr>
      <w:r>
        <w:rPr>
          <w:bCs/>
          <w:b/>
        </w:rPr>
        <w:t xml:space="preserve">Process conditions</w:t>
      </w:r>
      <w:r>
        <w:t xml:space="preserve"> </w:t>
      </w:r>
      <w:r>
        <w:t xml:space="preserve">– determine fluid density, dielectric constant, turbulence, temperature, pressure and presence of foam or vapour.</w:t>
      </w:r>
    </w:p>
    <w:p>
      <w:pPr>
        <w:numPr>
          <w:ilvl w:val="0"/>
          <w:numId w:val="1003"/>
        </w:numPr>
        <w:pStyle w:val="Compact"/>
      </w:pPr>
      <w:r>
        <w:rPr>
          <w:bCs/>
          <w:b/>
        </w:rPr>
        <w:t xml:space="preserve">Differential pressure</w:t>
      </w:r>
      <w:r>
        <w:t xml:space="preserve"> </w:t>
      </w:r>
      <w:r>
        <w:t xml:space="preserve">– choose static head measurement for clean liquids; process wetted parts 316 SS; flanges 150 lb; remote seal for hot or corrosive service【51948133245220†L3300-L3316】.</w:t>
      </w:r>
    </w:p>
    <w:p>
      <w:pPr>
        <w:numPr>
          <w:ilvl w:val="0"/>
          <w:numId w:val="1003"/>
        </w:numPr>
        <w:pStyle w:val="Compact"/>
      </w:pPr>
      <w:r>
        <w:rPr>
          <w:bCs/>
          <w:b/>
        </w:rPr>
        <w:t xml:space="preserve">Ultrasonic</w:t>
      </w:r>
      <w:r>
        <w:t xml:space="preserve"> </w:t>
      </w:r>
      <w:r>
        <w:t xml:space="preserve">– ensure transducer range covers tank height; require reference reflector and temperature compensation; accuracy within ±0.1 ft【51948133245220†L3321-L3359】.</w:t>
      </w:r>
    </w:p>
    <w:p>
      <w:pPr>
        <w:numPr>
          <w:ilvl w:val="0"/>
          <w:numId w:val="1003"/>
        </w:numPr>
        <w:pStyle w:val="Compact"/>
      </w:pPr>
      <w:r>
        <w:rPr>
          <w:bCs/>
          <w:b/>
        </w:rPr>
        <w:t xml:space="preserve">RF admittance</w:t>
      </w:r>
      <w:r>
        <w:t xml:space="preserve"> </w:t>
      </w:r>
      <w:r>
        <w:t xml:space="preserve">– unaffected by process conductivity; include non‑interacting zero and span controls; provide grounding rod for non‑metallic vessels【51948133245220†L3370-L3405】.</w:t>
      </w:r>
    </w:p>
    <w:p>
      <w:pPr>
        <w:numPr>
          <w:ilvl w:val="0"/>
          <w:numId w:val="1003"/>
        </w:numPr>
        <w:pStyle w:val="Compact"/>
      </w:pPr>
      <w:r>
        <w:rPr>
          <w:bCs/>
          <w:b/>
        </w:rPr>
        <w:t xml:space="preserve">Submersible</w:t>
      </w:r>
      <w:r>
        <w:t xml:space="preserve"> </w:t>
      </w:r>
      <w:r>
        <w:t xml:space="preserve">– specify 316 SS wetted parts and waterproof cable; remote transmitter; accuracy ±0.5 %【51948133245220†L3410-L3441】.</w:t>
      </w:r>
    </w:p>
    <w:p>
      <w:pPr>
        <w:numPr>
          <w:ilvl w:val="0"/>
          <w:numId w:val="1003"/>
        </w:numPr>
        <w:pStyle w:val="Compact"/>
      </w:pPr>
      <w:r>
        <w:rPr>
          <w:bCs/>
          <w:b/>
        </w:rPr>
        <w:t xml:space="preserve">Float systems</w:t>
      </w:r>
      <w:r>
        <w:t xml:space="preserve"> </w:t>
      </w:r>
      <w:r>
        <w:t xml:space="preserve">– use corrosion‑resistant floats and cable; ensure transmitter is in weatherproof enclosure; accuracy ±1 % of span.</w:t>
      </w:r>
    </w:p>
    <w:bookmarkEnd w:id="23"/>
    <w:bookmarkStart w:id="25" w:name="installation-guidelines"/>
    <w:p>
      <w:pPr>
        <w:pStyle w:val="Heading2"/>
      </w:pPr>
      <w:r>
        <w:t xml:space="preserve">Installation Guidelines</w:t>
      </w:r>
    </w:p>
    <w:p>
      <w:pPr>
        <w:numPr>
          <w:ilvl w:val="0"/>
          <w:numId w:val="1004"/>
        </w:numPr>
        <w:pStyle w:val="Compact"/>
      </w:pPr>
      <w:r>
        <w:rPr>
          <w:bCs/>
          <w:b/>
        </w:rPr>
        <w:t xml:space="preserve">DP transmitters</w:t>
      </w:r>
      <w:r>
        <w:t xml:space="preserve">: mount at or below the lower tap; provide wet leg for steam service; slope impulse lines.</w:t>
      </w:r>
    </w:p>
    <w:p>
      <w:pPr>
        <w:numPr>
          <w:ilvl w:val="0"/>
          <w:numId w:val="1004"/>
        </w:numPr>
        <w:pStyle w:val="Compact"/>
      </w:pPr>
      <w:r>
        <w:rPr>
          <w:bCs/>
          <w:b/>
        </w:rPr>
        <w:t xml:space="preserve">Ultrasonic</w:t>
      </w:r>
      <w:r>
        <w:t xml:space="preserve">: mount transducer perpendicular to liquid surface; avoid obstructions; maintain distance from tank walls to prevent false echoes; consider stilling wells for turbulent surfaces.</w:t>
      </w:r>
    </w:p>
    <w:p>
      <w:pPr>
        <w:numPr>
          <w:ilvl w:val="0"/>
          <w:numId w:val="1004"/>
        </w:numPr>
        <w:pStyle w:val="Compact"/>
      </w:pPr>
      <w:r>
        <w:rPr>
          <w:bCs/>
          <w:b/>
        </w:rPr>
        <w:t xml:space="preserve">RF admittance</w:t>
      </w:r>
      <w:r>
        <w:t xml:space="preserve">: ensure proper grounding; cut probe length to suit vessel height; mount flange at appropriate angle.</w:t>
      </w:r>
    </w:p>
    <w:p>
      <w:pPr>
        <w:numPr>
          <w:ilvl w:val="0"/>
          <w:numId w:val="1004"/>
        </w:numPr>
        <w:pStyle w:val="Compact"/>
      </w:pPr>
      <w:r>
        <w:rPr>
          <w:bCs/>
          <w:b/>
        </w:rPr>
        <w:t xml:space="preserve">Submersible</w:t>
      </w:r>
      <w:r>
        <w:t xml:space="preserve">: suspend transducer centrally; use stilling well for agitation; route cable through conduit.</w:t>
      </w:r>
    </w:p>
    <w:p>
      <w:pPr>
        <w:numPr>
          <w:ilvl w:val="0"/>
          <w:numId w:val="1004"/>
        </w:numPr>
        <w:pStyle w:val="Compact"/>
      </w:pPr>
      <w:r>
        <w:rPr>
          <w:bCs/>
          <w:b/>
        </w:rPr>
        <w:t xml:space="preserve">Float</w:t>
      </w:r>
      <w:r>
        <w:t xml:space="preserve">: maintain vertical travel; protect tape/cable; ensure guides are clean.</w:t>
      </w:r>
    </w:p>
    <w:bookmarkStart w:id="24" w:name="X68b11c629516167292fc8acf59fc187c68acef4"/>
    <w:p>
      <w:pPr>
        <w:pStyle w:val="Heading3"/>
      </w:pPr>
      <w:r>
        <w:t xml:space="preserve">Radar/Ultrasonic Transmitter Installation Best Practices</w:t>
      </w:r>
    </w:p>
    <w:p>
      <w:pPr>
        <w:pStyle w:val="FirstParagraph"/>
      </w:pPr>
      <w:r>
        <w:t xml:space="preserve">Proper installation of radar and ultrasonic level transmitters ensures reliable measurements. Follow these guidelines【44343865132223†L101-L112】【44343865132223†L116-L190】:</w:t>
      </w:r>
    </w:p>
    <w:p>
      <w:pPr>
        <w:numPr>
          <w:ilvl w:val="0"/>
          <w:numId w:val="1005"/>
        </w:numPr>
        <w:pStyle w:val="Compact"/>
      </w:pPr>
      <w:r>
        <w:rPr>
          <w:bCs/>
          <w:b/>
        </w:rPr>
        <w:t xml:space="preserve">Transducer location</w:t>
      </w:r>
      <w:r>
        <w:t xml:space="preserve"> </w:t>
      </w:r>
      <w:r>
        <w:t xml:space="preserve">– Mount the sensor at a point 1/6 to 1/4 of the vessel diameter and at least 10 % of the diameter away from the tank wall to minimise interference from wall reflections and dead zones【44343865132223†L101-L112】.</w:t>
      </w:r>
    </w:p>
    <w:p>
      <w:pPr>
        <w:numPr>
          <w:ilvl w:val="0"/>
          <w:numId w:val="1005"/>
        </w:numPr>
        <w:pStyle w:val="Compact"/>
      </w:pPr>
      <w:r>
        <w:rPr>
          <w:bCs/>
          <w:b/>
        </w:rPr>
        <w:t xml:space="preserve">Orientation</w:t>
      </w:r>
      <w:r>
        <w:t xml:space="preserve"> </w:t>
      </w:r>
      <w:r>
        <w:t xml:space="preserve">– Install horn antennas horizontally and ensure the horn extends at least 10 mm below the tank roof; keep the sensor perpendicular to the liquid surface to maximise signal return【44343865132223†L116-L135】.</w:t>
      </w:r>
    </w:p>
    <w:p>
      <w:pPr>
        <w:numPr>
          <w:ilvl w:val="0"/>
          <w:numId w:val="1005"/>
        </w:numPr>
        <w:pStyle w:val="Compact"/>
      </w:pPr>
      <w:r>
        <w:rPr>
          <w:bCs/>
          <w:b/>
        </w:rPr>
        <w:t xml:space="preserve">Avoid obstacles</w:t>
      </w:r>
      <w:r>
        <w:t xml:space="preserve"> </w:t>
      </w:r>
      <w:r>
        <w:t xml:space="preserve">– Position sensors away from agitators, in‑tank ladders, heating coils or baffles; use stilling wells or bypass chambers to isolate the sensing beam in turbulent tanks; install radar reflectors when necessary to focus the beam【44343865132223†L139-L150】.</w:t>
      </w:r>
    </w:p>
    <w:p>
      <w:pPr>
        <w:numPr>
          <w:ilvl w:val="0"/>
          <w:numId w:val="1005"/>
        </w:numPr>
        <w:pStyle w:val="Compact"/>
      </w:pPr>
      <w:r>
        <w:rPr>
          <w:bCs/>
          <w:b/>
        </w:rPr>
        <w:t xml:space="preserve">Process considerations</w:t>
      </w:r>
      <w:r>
        <w:t xml:space="preserve"> </w:t>
      </w:r>
      <w:r>
        <w:t xml:space="preserve">– Maintain a safety distance between the transmitter flange and the maximum fluid level (typically 100–800 mm); consider corrosive or crystallising liquids and choose appropriate antenna materials and purge systems【44343865132223†L160-L164】.</w:t>
      </w:r>
    </w:p>
    <w:p>
      <w:pPr>
        <w:numPr>
          <w:ilvl w:val="0"/>
          <w:numId w:val="1005"/>
        </w:numPr>
        <w:pStyle w:val="Compact"/>
      </w:pPr>
      <w:r>
        <w:rPr>
          <w:bCs/>
          <w:b/>
        </w:rPr>
        <w:t xml:space="preserve">Calibration and wiring</w:t>
      </w:r>
      <w:r>
        <w:t xml:space="preserve"> </w:t>
      </w:r>
      <w:r>
        <w:t xml:space="preserve">– Perform calibration at operating conditions; adjust zero and span to actual tank geometry; use shielded cables and proper grounding to prevent electromagnetic interference; avoid short circuits during installation【44343865132223†L166-L190】.</w:t>
      </w:r>
    </w:p>
    <w:p>
      <w:pPr>
        <w:numPr>
          <w:ilvl w:val="0"/>
          <w:numId w:val="1005"/>
        </w:numPr>
        <w:pStyle w:val="Compact"/>
      </w:pPr>
      <w:r>
        <w:rPr>
          <w:bCs/>
          <w:b/>
        </w:rPr>
        <w:t xml:space="preserve">Environmental conditions</w:t>
      </w:r>
      <w:r>
        <w:t xml:space="preserve"> </w:t>
      </w:r>
      <w:r>
        <w:t xml:space="preserve">– Account for temperature variation, vapour pressure and humidity; use weatherproof or heated enclosures if necessary; maintain cable shielding continuity【44343865132223†L166-L190】.</w:t>
      </w:r>
    </w:p>
    <w:bookmarkEnd w:id="24"/>
    <w:bookmarkEnd w:id="25"/>
    <w:bookmarkStart w:id="26" w:name="calibration-and-testing"/>
    <w:p>
      <w:pPr>
        <w:pStyle w:val="Heading2"/>
      </w:pPr>
      <w:r>
        <w:t xml:space="preserve">Calibration and Testing</w:t>
      </w:r>
    </w:p>
    <w:p>
      <w:pPr>
        <w:numPr>
          <w:ilvl w:val="0"/>
          <w:numId w:val="1006"/>
        </w:numPr>
        <w:pStyle w:val="Compact"/>
      </w:pPr>
      <w:r>
        <w:t xml:space="preserve">DP transmitters: calibrate zero and span using hydrostatic head or calibration chamber.</w:t>
      </w:r>
    </w:p>
    <w:p>
      <w:pPr>
        <w:numPr>
          <w:ilvl w:val="0"/>
          <w:numId w:val="1006"/>
        </w:numPr>
        <w:pStyle w:val="Compact"/>
      </w:pPr>
      <w:r>
        <w:t xml:space="preserve">Ultrasonic: perform factory calibration; verify echo profiles on commissioning.</w:t>
      </w:r>
    </w:p>
    <w:p>
      <w:pPr>
        <w:numPr>
          <w:ilvl w:val="0"/>
          <w:numId w:val="1006"/>
        </w:numPr>
        <w:pStyle w:val="Compact"/>
      </w:pPr>
      <w:r>
        <w:t xml:space="preserve">RF admittance: verify calibration using known levels; adjust zero/span accordingly.</w:t>
      </w:r>
    </w:p>
    <w:p>
      <w:pPr>
        <w:numPr>
          <w:ilvl w:val="0"/>
          <w:numId w:val="1006"/>
        </w:numPr>
        <w:pStyle w:val="Compact"/>
      </w:pPr>
      <w:r>
        <w:t xml:space="preserve">Submersible: calibrate using column of water.</w:t>
      </w:r>
    </w:p>
    <w:p>
      <w:pPr>
        <w:numPr>
          <w:ilvl w:val="0"/>
          <w:numId w:val="1006"/>
        </w:numPr>
        <w:pStyle w:val="Compact"/>
      </w:pPr>
      <w:r>
        <w:t xml:space="preserve">Level switches: bench‑test setpoints; verify operation at high/low levels.</w:t>
      </w:r>
    </w:p>
    <w:bookmarkEnd w:id="26"/>
    <w:bookmarkStart w:id="27" w:name="safety-considerations"/>
    <w:p>
      <w:pPr>
        <w:pStyle w:val="Heading2"/>
      </w:pPr>
      <w:r>
        <w:t xml:space="preserve">Safety Considerations</w:t>
      </w:r>
    </w:p>
    <w:p>
      <w:pPr>
        <w:numPr>
          <w:ilvl w:val="0"/>
          <w:numId w:val="1007"/>
        </w:numPr>
        <w:pStyle w:val="Compact"/>
      </w:pPr>
      <w:r>
        <w:t xml:space="preserve">Use explosion‑proof or intrinsically safe equipment for hazardous areas (Class I, Division 1 or 2).</w:t>
      </w:r>
    </w:p>
    <w:p>
      <w:pPr>
        <w:numPr>
          <w:ilvl w:val="0"/>
          <w:numId w:val="1007"/>
        </w:numPr>
        <w:pStyle w:val="Compact"/>
      </w:pPr>
      <w:r>
        <w:t xml:space="preserve">Provide overfill protection with independent high‑level switches.</w:t>
      </w:r>
    </w:p>
    <w:p>
      <w:pPr>
        <w:numPr>
          <w:ilvl w:val="0"/>
          <w:numId w:val="1007"/>
        </w:numPr>
        <w:pStyle w:val="Compact"/>
      </w:pPr>
      <w:r>
        <w:t xml:space="preserve">Consider redundant level transmitters for critical tanks.</w:t>
      </w:r>
    </w:p>
    <w:bookmarkEnd w:id="27"/>
    <w:bookmarkStart w:id="28" w:name="data-sheet-requirements"/>
    <w:p>
      <w:pPr>
        <w:pStyle w:val="Heading2"/>
      </w:pPr>
      <w:r>
        <w:t xml:space="preserve">Data Sheet Requirements</w:t>
      </w:r>
    </w:p>
    <w:p>
      <w:pPr>
        <w:pStyle w:val="FirstParagraph"/>
      </w:pPr>
      <w:r>
        <w:t xml:space="preserve">Record tag, technology, range, output, accuracy, process connection, materials, power supply, enclosure rating, calibration method, hazardous area classification and integration with control system.</w:t>
      </w:r>
    </w:p>
    <w:bookmarkEnd w:id="28"/>
    <w:bookmarkStart w:id="29" w:name="maintenance-and-inspection"/>
    <w:p>
      <w:pPr>
        <w:pStyle w:val="Heading2"/>
      </w:pPr>
      <w:r>
        <w:t xml:space="preserve">Maintenance and Inspection</w:t>
      </w:r>
    </w:p>
    <w:p>
      <w:pPr>
        <w:numPr>
          <w:ilvl w:val="0"/>
          <w:numId w:val="1008"/>
        </w:numPr>
        <w:pStyle w:val="Compact"/>
      </w:pPr>
      <w:r>
        <w:t xml:space="preserve">Periodically inspect transducers and probes for coating or buildup; clean and re‑calibrate.</w:t>
      </w:r>
    </w:p>
    <w:p>
      <w:pPr>
        <w:numPr>
          <w:ilvl w:val="0"/>
          <w:numId w:val="1008"/>
        </w:numPr>
        <w:pStyle w:val="Compact"/>
      </w:pPr>
      <w:r>
        <w:t xml:space="preserve">Verify cable integrity and junction boxes.</w:t>
      </w:r>
    </w:p>
    <w:p>
      <w:pPr>
        <w:numPr>
          <w:ilvl w:val="0"/>
          <w:numId w:val="1008"/>
        </w:numPr>
        <w:pStyle w:val="Compact"/>
      </w:pPr>
      <w:r>
        <w:t xml:space="preserve">Replace float or tape if damaged or corroded.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CE4D0E-78ED-4D4A-908C-98458D071A5E}"/>
</file>

<file path=customXml/itemProps2.xml><?xml version="1.0" encoding="utf-8"?>
<ds:datastoreItem xmlns:ds="http://schemas.openxmlformats.org/officeDocument/2006/customXml" ds:itemID="{36C89893-AFD8-4FE9-88A0-9D1C60462F16}"/>
</file>

<file path=customXml/itemProps3.xml><?xml version="1.0" encoding="utf-8"?>
<ds:datastoreItem xmlns:ds="http://schemas.openxmlformats.org/officeDocument/2006/customXml" ds:itemID="{68635A59-2C75-4AF2-92B9-3974B033C6E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2026-01-12T03:56:01Z</dcterms:created>
  <dcterms:modified xsi:type="dcterms:W3CDTF">2026-01-12T03:56:01Z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