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9bcfefbd8ddc5f16227a048896963f89aed8ea"/>
    <w:p>
      <w:pPr>
        <w:pStyle w:val="Heading1"/>
      </w:pPr>
      <w:r>
        <w:t xml:space="preserve">Pressure Measurement Instrumentation Standards</w:t>
      </w:r>
    </w:p>
    <w:bookmarkStart w:id="20" w:name="introduction"/>
    <w:p>
      <w:pPr>
        <w:pStyle w:val="Heading2"/>
      </w:pPr>
      <w:r>
        <w:t xml:space="preserve">Introduction</w:t>
      </w:r>
    </w:p>
    <w:p>
      <w:pPr>
        <w:pStyle w:val="FirstParagraph"/>
      </w:pPr>
      <w:r>
        <w:t xml:space="preserve">Accurate pressure measurement is critical to the safe and efficient operation of a large refinery. Pressure instruments provide feedback for process control loops, over‑pressure protection and equipment health monitoring. These standards are based on industry best practice, including API 551 for pressure, temperature, level and flow measurement, ISA guidelines for data sheets and symbols, ASME B40 for pressure gauges and ISO 5167 for differential pressure elements.</w:t>
      </w:r>
    </w:p>
    <w:bookmarkEnd w:id="20"/>
    <w:bookmarkStart w:id="21" w:name="applicable-standards"/>
    <w:p>
      <w:pPr>
        <w:pStyle w:val="Heading2"/>
      </w:pPr>
      <w:r>
        <w:t xml:space="preserve">Applicable Standards</w:t>
      </w:r>
    </w:p>
    <w:p>
      <w:pPr>
        <w:pStyle w:val="FirstParagraph"/>
      </w:pPr>
      <w:r>
        <w:t xml:space="preserve">The following standards apply to the design, selection and installation of pressure‑measurement instruments. In addition to the baseline documents previously referenced, additional standards have been incorporated to align these guidelines with current industry practice.</w:t>
      </w:r>
    </w:p>
    <w:p>
      <w:pPr>
        <w:numPr>
          <w:ilvl w:val="0"/>
          <w:numId w:val="1001"/>
        </w:numPr>
        <w:pStyle w:val="Compact"/>
      </w:pPr>
      <w:r>
        <w:rPr>
          <w:bCs/>
          <w:b/>
        </w:rPr>
        <w:t xml:space="preserve">API 551 – Process Measurement Instrumentation</w:t>
      </w:r>
      <w:r>
        <w:t xml:space="preserve"> </w:t>
      </w:r>
      <w:r>
        <w:t xml:space="preserve">– guidance on the selection and installation of pressure, temperature, level and flow measurement instruments.</w:t>
      </w:r>
    </w:p>
    <w:p>
      <w:pPr>
        <w:numPr>
          <w:ilvl w:val="0"/>
          <w:numId w:val="1001"/>
        </w:numPr>
        <w:pStyle w:val="Compact"/>
      </w:pPr>
      <w:r>
        <w:rPr>
          <w:bCs/>
          <w:b/>
        </w:rPr>
        <w:t xml:space="preserve">API 553 – Refinery Control Valves</w:t>
      </w:r>
      <w:r>
        <w:t xml:space="preserve"> </w:t>
      </w:r>
      <w:r>
        <w:t xml:space="preserve">– requirements for pressure control valves and associated accessories.</w:t>
      </w:r>
    </w:p>
    <w:p>
      <w:pPr>
        <w:numPr>
          <w:ilvl w:val="0"/>
          <w:numId w:val="1001"/>
        </w:numPr>
        <w:pStyle w:val="Compact"/>
      </w:pPr>
      <w:r>
        <w:rPr>
          <w:bCs/>
          <w:b/>
        </w:rPr>
        <w:t xml:space="preserve">ISA 5.1 – Instrumentation Symbols and Identification</w:t>
      </w:r>
      <w:r>
        <w:t xml:space="preserve"> </w:t>
      </w:r>
      <w:r>
        <w:t xml:space="preserve">– standard symbols for P&amp;IDs and loop diagrams.</w:t>
      </w:r>
    </w:p>
    <w:p>
      <w:pPr>
        <w:numPr>
          <w:ilvl w:val="0"/>
          <w:numId w:val="1001"/>
        </w:numPr>
        <w:pStyle w:val="Compact"/>
      </w:pPr>
      <w:r>
        <w:rPr>
          <w:bCs/>
          <w:b/>
        </w:rPr>
        <w:t xml:space="preserve">ISA 20 – Instrumentation Data Sheets</w:t>
      </w:r>
      <w:r>
        <w:t xml:space="preserve"> </w:t>
      </w:r>
      <w:r>
        <w:t xml:space="preserve">– information to include on instrument specification sheets.</w:t>
      </w:r>
    </w:p>
    <w:p>
      <w:pPr>
        <w:numPr>
          <w:ilvl w:val="0"/>
          <w:numId w:val="1001"/>
        </w:numPr>
        <w:pStyle w:val="Compact"/>
      </w:pPr>
      <w:r>
        <w:rPr>
          <w:bCs/>
          <w:b/>
        </w:rPr>
        <w:t xml:space="preserve">ASME B40.100 – Pressure Gauges</w:t>
      </w:r>
      <w:r>
        <w:t xml:space="preserve"> </w:t>
      </w:r>
      <w:r>
        <w:t xml:space="preserve">– construction and performance of dial pressure gauges.</w:t>
      </w:r>
    </w:p>
    <w:p>
      <w:pPr>
        <w:numPr>
          <w:ilvl w:val="0"/>
          <w:numId w:val="1001"/>
        </w:numPr>
        <w:pStyle w:val="Compact"/>
      </w:pPr>
      <w:r>
        <w:rPr>
          <w:bCs/>
          <w:b/>
        </w:rPr>
        <w:t xml:space="preserve">ASME PTC 19.3 / API RP 551 – Impulse Lines</w:t>
      </w:r>
      <w:r>
        <w:t xml:space="preserve"> </w:t>
      </w:r>
      <w:r>
        <w:t xml:space="preserve">– design of instrument impulse lines and isolation manifolds.</w:t>
      </w:r>
    </w:p>
    <w:p>
      <w:pPr>
        <w:numPr>
          <w:ilvl w:val="0"/>
          <w:numId w:val="1001"/>
        </w:numPr>
        <w:pStyle w:val="Compact"/>
      </w:pPr>
      <w:r>
        <w:rPr>
          <w:bCs/>
          <w:b/>
        </w:rPr>
        <w:t xml:space="preserve">API 520/521/526/527 – Pressure‑Relieving Devices</w:t>
      </w:r>
      <w:r>
        <w:t xml:space="preserve"> </w:t>
      </w:r>
      <w:r>
        <w:t xml:space="preserve">– standards for sizing, selection and installation of pressure‑relief valves and devices for refineries and petrochemical facilities【658884660910242†L35-L64】.</w:t>
      </w:r>
    </w:p>
    <w:p>
      <w:pPr>
        <w:numPr>
          <w:ilvl w:val="0"/>
          <w:numId w:val="1001"/>
        </w:numPr>
        <w:pStyle w:val="Compact"/>
      </w:pPr>
      <w:r>
        <w:rPr>
          <w:bCs/>
          <w:b/>
        </w:rPr>
        <w:t xml:space="preserve">API RP 550 – Refineries Instrumentation Practices</w:t>
      </w:r>
      <w:r>
        <w:t xml:space="preserve"> </w:t>
      </w:r>
      <w:r>
        <w:t xml:space="preserve">– recommended practice for installation, selection and inspection of instrumentation in petroleum refineries【658884660910242†L35-L64】.</w:t>
      </w:r>
    </w:p>
    <w:p>
      <w:pPr>
        <w:numPr>
          <w:ilvl w:val="0"/>
          <w:numId w:val="1001"/>
        </w:numPr>
        <w:pStyle w:val="Compact"/>
      </w:pPr>
      <w:r>
        <w:rPr>
          <w:bCs/>
          <w:b/>
        </w:rPr>
        <w:t xml:space="preserve">ISO 2186 – Fluid Flow in Closed Conduits – Connections for Pressure Signal Transmission</w:t>
      </w:r>
      <w:r>
        <w:t xml:space="preserve"> </w:t>
      </w:r>
      <w:r>
        <w:t xml:space="preserve">– provisions for the design and installation of impulse tubing and signal transmission lines between primary and secondary elements【277453460090202†L533-L540】.</w:t>
      </w:r>
    </w:p>
    <w:p>
      <w:pPr>
        <w:numPr>
          <w:ilvl w:val="0"/>
          <w:numId w:val="1001"/>
        </w:numPr>
        <w:pStyle w:val="Compact"/>
      </w:pPr>
      <w:r>
        <w:rPr>
          <w:bCs/>
          <w:b/>
        </w:rPr>
        <w:t xml:space="preserve">ISA 7.4 – Instrument Piping Installation</w:t>
      </w:r>
      <w:r>
        <w:t xml:space="preserve"> </w:t>
      </w:r>
      <w:r>
        <w:t xml:space="preserve">– guidelines for the installation of instrument piping and impulse tubing systems, including materials, fabrication and testing requirements【277453460090202†L533-L540】.</w:t>
      </w:r>
    </w:p>
    <w:bookmarkEnd w:id="21"/>
    <w:bookmarkStart w:id="22" w:name="equipment-types"/>
    <w:p>
      <w:pPr>
        <w:pStyle w:val="Heading2"/>
      </w:pPr>
      <w:r>
        <w:t xml:space="preserve">Equipment Types</w:t>
      </w:r>
    </w:p>
    <w:p>
      <w:pPr>
        <w:numPr>
          <w:ilvl w:val="0"/>
          <w:numId w:val="1002"/>
        </w:numPr>
        <w:pStyle w:val="Compact"/>
      </w:pPr>
      <w:r>
        <w:rPr>
          <w:bCs/>
          <w:b/>
        </w:rPr>
        <w:t xml:space="preserve">Electronic pressure transmitters</w:t>
      </w:r>
      <w:r>
        <w:t xml:space="preserve">: two‑wire transmitters with integral indicators and 4–20 mA outputs; ±0.25 % accuracy and 316 SS wetted materials【51948133245220†L3719-L3734】.</w:t>
      </w:r>
    </w:p>
    <w:p>
      <w:pPr>
        <w:numPr>
          <w:ilvl w:val="0"/>
          <w:numId w:val="1002"/>
        </w:numPr>
        <w:pStyle w:val="Compact"/>
      </w:pPr>
      <w:r>
        <w:rPr>
          <w:bCs/>
          <w:b/>
        </w:rPr>
        <w:t xml:space="preserve">Local pressure gauges</w:t>
      </w:r>
      <w:r>
        <w:t xml:space="preserve">: stainless steel 3½‑inch dial gauges with snubber adapters and shut‑off valves; ±1 % accuracy and shock‑resistant movement【51948133245220†L3739-L3756】.</w:t>
      </w:r>
    </w:p>
    <w:p>
      <w:pPr>
        <w:numPr>
          <w:ilvl w:val="0"/>
          <w:numId w:val="1002"/>
        </w:numPr>
        <w:pStyle w:val="Compact"/>
      </w:pPr>
      <w:r>
        <w:rPr>
          <w:bCs/>
          <w:b/>
        </w:rPr>
        <w:t xml:space="preserve">Diaphragm seals and remote seals</w:t>
      </w:r>
      <w:r>
        <w:t xml:space="preserve">: 316 SS housing and diaphragm; fill fluid isolated from process; removable for service【51948133245220†L3801-L3819】.</w:t>
      </w:r>
    </w:p>
    <w:p>
      <w:pPr>
        <w:numPr>
          <w:ilvl w:val="0"/>
          <w:numId w:val="1002"/>
        </w:numPr>
        <w:pStyle w:val="Compact"/>
      </w:pPr>
      <w:r>
        <w:rPr>
          <w:bCs/>
          <w:b/>
        </w:rPr>
        <w:t xml:space="preserve">Annular ring seals</w:t>
      </w:r>
      <w:r>
        <w:t xml:space="preserve">: flanged full‑bore rings used to isolate the process for gauges on slurry service【51948133245220†L3825-L3853】.</w:t>
      </w:r>
    </w:p>
    <w:p>
      <w:pPr>
        <w:numPr>
          <w:ilvl w:val="0"/>
          <w:numId w:val="1002"/>
        </w:numPr>
        <w:pStyle w:val="Compact"/>
      </w:pPr>
      <w:r>
        <w:rPr>
          <w:bCs/>
          <w:b/>
        </w:rPr>
        <w:t xml:space="preserve">Pressure switches</w:t>
      </w:r>
      <w:r>
        <w:t xml:space="preserve">: diaphragm or piston pressure switches with over‑range protection factor of 10.</w:t>
      </w:r>
    </w:p>
    <w:bookmarkEnd w:id="22"/>
    <w:bookmarkStart w:id="23" w:name="selection-and-design-criteria"/>
    <w:p>
      <w:pPr>
        <w:pStyle w:val="Heading2"/>
      </w:pPr>
      <w:r>
        <w:t xml:space="preserve">Selection and Design Criteria</w:t>
      </w:r>
    </w:p>
    <w:p>
      <w:pPr>
        <w:numPr>
          <w:ilvl w:val="0"/>
          <w:numId w:val="1003"/>
        </w:numPr>
        <w:pStyle w:val="Compact"/>
      </w:pPr>
      <w:r>
        <w:rPr>
          <w:bCs/>
          <w:b/>
        </w:rPr>
        <w:t xml:space="preserve">Process conditions</w:t>
      </w:r>
      <w:r>
        <w:t xml:space="preserve"> </w:t>
      </w:r>
      <w:r>
        <w:t xml:space="preserve">– determine the normal and maximum pressure, temperature and fluid properties; select ranges so operating pressure is 25–75 % of scale.</w:t>
      </w:r>
    </w:p>
    <w:p>
      <w:pPr>
        <w:numPr>
          <w:ilvl w:val="0"/>
          <w:numId w:val="1003"/>
        </w:numPr>
        <w:pStyle w:val="Compact"/>
      </w:pPr>
      <w:r>
        <w:rPr>
          <w:bCs/>
          <w:b/>
        </w:rPr>
        <w:t xml:space="preserve">Transmitter performance</w:t>
      </w:r>
      <w:r>
        <w:t xml:space="preserve"> </w:t>
      </w:r>
      <w:r>
        <w:t xml:space="preserve">– specify ±0.25 % of calibrated span accuracy, integral zero and span adjustments and damping; outputs shall be 4–20 mA; 316 SS wetted parts and ½‑inch NPT process connection【51948133245220†L3719-L3734】.</w:t>
      </w:r>
    </w:p>
    <w:p>
      <w:pPr>
        <w:numPr>
          <w:ilvl w:val="0"/>
          <w:numId w:val="1003"/>
        </w:numPr>
        <w:pStyle w:val="Compact"/>
      </w:pPr>
      <w:r>
        <w:rPr>
          <w:bCs/>
          <w:b/>
        </w:rPr>
        <w:t xml:space="preserve">Gauge construction</w:t>
      </w:r>
      <w:r>
        <w:t xml:space="preserve"> </w:t>
      </w:r>
      <w:r>
        <w:t xml:space="preserve">– 316 SS case and movement; liquid‑filled cases for vibration; include snubber and needle valve to damp pulsations; gauge accuracy ±1 % of full scale【51948133245220†L3749-L3756】.</w:t>
      </w:r>
    </w:p>
    <w:p>
      <w:pPr>
        <w:numPr>
          <w:ilvl w:val="0"/>
          <w:numId w:val="1003"/>
        </w:numPr>
        <w:pStyle w:val="Compact"/>
      </w:pPr>
      <w:r>
        <w:rPr>
          <w:bCs/>
          <w:b/>
        </w:rPr>
        <w:t xml:space="preserve">Seals</w:t>
      </w:r>
      <w:r>
        <w:t xml:space="preserve"> </w:t>
      </w:r>
      <w:r>
        <w:t xml:space="preserve">– use diaphragm seals for corrosive, viscous or slurry media; fill fluids compatible with process; design for 360° self‑cleaning flow path and removable bottom housing【51948133245220†L3801-L3819】.</w:t>
      </w:r>
    </w:p>
    <w:p>
      <w:pPr>
        <w:numPr>
          <w:ilvl w:val="0"/>
          <w:numId w:val="1003"/>
        </w:numPr>
        <w:pStyle w:val="Compact"/>
      </w:pPr>
      <w:r>
        <w:rPr>
          <w:bCs/>
          <w:b/>
        </w:rPr>
        <w:t xml:space="preserve">Pressure switches</w:t>
      </w:r>
      <w:r>
        <w:t xml:space="preserve"> </w:t>
      </w:r>
      <w:r>
        <w:t xml:space="preserve">– specify repeatability ±1 % of setpoint; over‑range protection factor of 10; SPDT contacts rated for 5 A at 120 VAC.</w:t>
      </w:r>
    </w:p>
    <w:bookmarkEnd w:id="23"/>
    <w:bookmarkStart w:id="24" w:name="accuracy-standards-and-definitions"/>
    <w:p>
      <w:pPr>
        <w:pStyle w:val="Heading2"/>
      </w:pPr>
      <w:r>
        <w:t xml:space="preserve">Accuracy Standards and Definitions</w:t>
      </w:r>
    </w:p>
    <w:p>
      <w:pPr>
        <w:pStyle w:val="FirstParagraph"/>
      </w:pPr>
      <w:r>
        <w:t xml:space="preserve">When specifying transmitter accuracy, clarify the performance basis. IEC 60770 defines accuracy as the combined effect of zero and span errors, while the Best Fit Straight Line (BFSL) method measures non‑linearity and hysteresis around a reference line【762777393263461†L194-L238】. Ensure supplier data sheets state which method is used and apply consistent acceptance criteria across instrument purchases.</w:t>
      </w:r>
    </w:p>
    <w:bookmarkEnd w:id="24"/>
    <w:bookmarkStart w:id="26" w:name="installation-guidelines"/>
    <w:p>
      <w:pPr>
        <w:pStyle w:val="Heading2"/>
      </w:pPr>
      <w:r>
        <w:t xml:space="preserve">Installation Guidelines</w:t>
      </w:r>
    </w:p>
    <w:p>
      <w:pPr>
        <w:numPr>
          <w:ilvl w:val="0"/>
          <w:numId w:val="1004"/>
        </w:numPr>
        <w:pStyle w:val="Compact"/>
      </w:pPr>
      <w:r>
        <w:rPr>
          <w:bCs/>
          <w:b/>
        </w:rPr>
        <w:t xml:space="preserve">Location</w:t>
      </w:r>
      <w:r>
        <w:t xml:space="preserve">: Install gauges on pump suction and discharge, before and after pressure‑reducing valves and at compressors; mount transmitters close to tapping points to minimise impulse line effects【51948133245220†L3740-L3743】.</w:t>
      </w:r>
    </w:p>
    <w:p>
      <w:pPr>
        <w:numPr>
          <w:ilvl w:val="0"/>
          <w:numId w:val="1004"/>
        </w:numPr>
        <w:pStyle w:val="Compact"/>
      </w:pPr>
      <w:r>
        <w:rPr>
          <w:bCs/>
          <w:b/>
        </w:rPr>
        <w:t xml:space="preserve">Impulse lines</w:t>
      </w:r>
      <w:r>
        <w:t xml:space="preserve">: slope impulse tubing toward the instrument; avoid pockets; provide block and bleed manifolds for transmitter isolation.</w:t>
      </w:r>
    </w:p>
    <w:p>
      <w:pPr>
        <w:numPr>
          <w:ilvl w:val="0"/>
          <w:numId w:val="1004"/>
        </w:numPr>
        <w:pStyle w:val="Compact"/>
      </w:pPr>
      <w:r>
        <w:rPr>
          <w:bCs/>
          <w:b/>
        </w:rPr>
        <w:t xml:space="preserve">Mounting</w:t>
      </w:r>
      <w:r>
        <w:t xml:space="preserve">: use instrument stands or brackets; mount gauges at eye level; orient dial face vertically; protect instruments from vibration and temperature extremes.</w:t>
      </w:r>
    </w:p>
    <w:p>
      <w:pPr>
        <w:numPr>
          <w:ilvl w:val="0"/>
          <w:numId w:val="1004"/>
        </w:numPr>
        <w:pStyle w:val="Compact"/>
      </w:pPr>
      <w:r>
        <w:rPr>
          <w:bCs/>
          <w:b/>
        </w:rPr>
        <w:t xml:space="preserve">Isolation and calibration valves</w:t>
      </w:r>
      <w:r>
        <w:t xml:space="preserve">: install a needle valve or five‑way manifold with vent/test ports for transmitters and gauges; use snubbers on pulsating services【51948133245220†L3739-L3753】.</w:t>
      </w:r>
    </w:p>
    <w:bookmarkStart w:id="25" w:name="additional-installation-best-practices"/>
    <w:p>
      <w:pPr>
        <w:pStyle w:val="Heading3"/>
      </w:pPr>
      <w:r>
        <w:t xml:space="preserve">Additional Installation Best Practices</w:t>
      </w:r>
    </w:p>
    <w:p>
      <w:pPr>
        <w:pStyle w:val="FirstParagraph"/>
      </w:pPr>
      <w:r>
        <w:t xml:space="preserve">These practices reflect industry guidance for pressure gauge installation and maintenance【318500418406920†L114-L174】:</w:t>
      </w:r>
    </w:p>
    <w:p>
      <w:pPr>
        <w:numPr>
          <w:ilvl w:val="0"/>
          <w:numId w:val="1005"/>
        </w:numPr>
        <w:pStyle w:val="Compact"/>
      </w:pPr>
      <w:r>
        <w:rPr>
          <w:bCs/>
          <w:b/>
        </w:rPr>
        <w:t xml:space="preserve">Gauge range and media compatibility</w:t>
      </w:r>
      <w:r>
        <w:t xml:space="preserve"> </w:t>
      </w:r>
      <w:r>
        <w:t xml:space="preserve">– Select a gauge with a pressure range approximately double the operating pressure so the system pressure falls in the middle third of the scale, and ensure wetted materials and fill fluids are compatible with the process medium【318500418406920†L114-L174】.</w:t>
      </w:r>
    </w:p>
    <w:p>
      <w:pPr>
        <w:numPr>
          <w:ilvl w:val="0"/>
          <w:numId w:val="1005"/>
        </w:numPr>
        <w:pStyle w:val="Compact"/>
      </w:pPr>
      <w:r>
        <w:rPr>
          <w:bCs/>
          <w:b/>
        </w:rPr>
        <w:t xml:space="preserve">Use wrench flats</w:t>
      </w:r>
      <w:r>
        <w:t xml:space="preserve"> </w:t>
      </w:r>
      <w:r>
        <w:t xml:space="preserve">– When installing threaded gauges, always tighten using the wrench flats on the socket rather than twisting the gauge case; over‑torquing the case can damage the gauge and compromise accuracy【318500418406920†L114-L174】.</w:t>
      </w:r>
    </w:p>
    <w:p>
      <w:pPr>
        <w:numPr>
          <w:ilvl w:val="0"/>
          <w:numId w:val="1005"/>
        </w:numPr>
        <w:pStyle w:val="Compact"/>
      </w:pPr>
      <w:r>
        <w:rPr>
          <w:bCs/>
          <w:b/>
        </w:rPr>
        <w:t xml:space="preserve">Proper thread sealing</w:t>
      </w:r>
      <w:r>
        <w:t xml:space="preserve"> </w:t>
      </w:r>
      <w:r>
        <w:t xml:space="preserve">– Distinguish between parallel and tapered threads; apply thread sealant only to male tapered threads, and do not seal parallel threads that rely on gaskets or O‑rings to avoid damage and leaks【318500418406920†L114-L174】.</w:t>
      </w:r>
    </w:p>
    <w:p>
      <w:pPr>
        <w:numPr>
          <w:ilvl w:val="0"/>
          <w:numId w:val="1005"/>
        </w:numPr>
        <w:pStyle w:val="Compact"/>
      </w:pPr>
      <w:r>
        <w:rPr>
          <w:bCs/>
          <w:b/>
        </w:rPr>
        <w:t xml:space="preserve">Gauge orientation</w:t>
      </w:r>
      <w:r>
        <w:t xml:space="preserve"> </w:t>
      </w:r>
      <w:r>
        <w:t xml:space="preserve">– Use a clamp socket or union nut so that the gauge can be oriented for easy reading without twisting the sensing element; leave at least 13 mm (½ inch) clearance behind a gauge for safe venting of the case【318500418406920†L114-L174】.</w:t>
      </w:r>
    </w:p>
    <w:p>
      <w:pPr>
        <w:numPr>
          <w:ilvl w:val="0"/>
          <w:numId w:val="1005"/>
        </w:numPr>
        <w:pStyle w:val="Compact"/>
      </w:pPr>
      <w:r>
        <w:rPr>
          <w:bCs/>
          <w:b/>
        </w:rPr>
        <w:t xml:space="preserve">Vent gauge case</w:t>
      </w:r>
      <w:r>
        <w:t xml:space="preserve"> </w:t>
      </w:r>
      <w:r>
        <w:t xml:space="preserve">– Before commissioning, remove the fill plug from liquid‑filled gauges to equalise internal and ambient pressure and avoid case rupture under changing temperature【318500418406920†L114-L174】.</w:t>
      </w:r>
    </w:p>
    <w:bookmarkEnd w:id="25"/>
    <w:bookmarkEnd w:id="26"/>
    <w:bookmarkStart w:id="27" w:name="calibration-and-testing"/>
    <w:p>
      <w:pPr>
        <w:pStyle w:val="Heading2"/>
      </w:pPr>
      <w:r>
        <w:t xml:space="preserve">Calibration and Testing</w:t>
      </w:r>
    </w:p>
    <w:p>
      <w:pPr>
        <w:numPr>
          <w:ilvl w:val="0"/>
          <w:numId w:val="1006"/>
        </w:numPr>
        <w:pStyle w:val="Compact"/>
      </w:pPr>
      <w:r>
        <w:t xml:space="preserve">Calibrate transmitters and gauges against traceable standards prior to installation and periodically thereafter. Transmitters shall have a calibration report at 20 %, 40 %, 60 %, 80 % and 100 % of range.</w:t>
      </w:r>
    </w:p>
    <w:p>
      <w:pPr>
        <w:numPr>
          <w:ilvl w:val="0"/>
          <w:numId w:val="1006"/>
        </w:numPr>
        <w:pStyle w:val="Compact"/>
      </w:pPr>
      <w:r>
        <w:t xml:space="preserve">Pressure gauges shall be certified to ±1 % accuracy; calibrate annually or as dictated by the maintenance programme.</w:t>
      </w:r>
    </w:p>
    <w:p>
      <w:pPr>
        <w:numPr>
          <w:ilvl w:val="0"/>
          <w:numId w:val="1006"/>
        </w:numPr>
        <w:pStyle w:val="Compact"/>
      </w:pPr>
      <w:r>
        <w:t xml:space="preserve">Pressure switches shall be bench‑tested at setpoint and reset point; verify over‑range protection.</w:t>
      </w:r>
    </w:p>
    <w:bookmarkEnd w:id="27"/>
    <w:bookmarkStart w:id="28" w:name="safety-considerations"/>
    <w:p>
      <w:pPr>
        <w:pStyle w:val="Heading2"/>
      </w:pPr>
      <w:r>
        <w:t xml:space="preserve">Safety Considerations</w:t>
      </w:r>
    </w:p>
    <w:p>
      <w:pPr>
        <w:numPr>
          <w:ilvl w:val="0"/>
          <w:numId w:val="1007"/>
        </w:numPr>
        <w:pStyle w:val="Compact"/>
      </w:pPr>
      <w:r>
        <w:t xml:space="preserve">Verify compatibility of wetted materials with process fluids to prevent corrosion or embrittlement.</w:t>
      </w:r>
    </w:p>
    <w:p>
      <w:pPr>
        <w:numPr>
          <w:ilvl w:val="0"/>
          <w:numId w:val="1007"/>
        </w:numPr>
        <w:pStyle w:val="Compact"/>
      </w:pPr>
      <w:r>
        <w:t xml:space="preserve">For hazardous areas, specify explosion‑proof or intrinsically safe transmitters with appropriate hazardous area approvals.</w:t>
      </w:r>
    </w:p>
    <w:p>
      <w:pPr>
        <w:numPr>
          <w:ilvl w:val="0"/>
          <w:numId w:val="1007"/>
        </w:numPr>
        <w:pStyle w:val="Compact"/>
      </w:pPr>
      <w:r>
        <w:t xml:space="preserve">Provide pressure relief valves or rupture discs upstream of instruments for over‑pressure protection.</w:t>
      </w:r>
    </w:p>
    <w:p>
      <w:pPr>
        <w:numPr>
          <w:ilvl w:val="0"/>
          <w:numId w:val="1007"/>
        </w:numPr>
        <w:pStyle w:val="Compact"/>
      </w:pPr>
      <w:r>
        <w:t xml:space="preserve">Ensure pressure instruments have isolation valves for safe removal and maintenance.</w:t>
      </w:r>
    </w:p>
    <w:bookmarkEnd w:id="28"/>
    <w:bookmarkStart w:id="29" w:name="data-sheet-requirements"/>
    <w:p>
      <w:pPr>
        <w:pStyle w:val="Heading2"/>
      </w:pPr>
      <w:r>
        <w:t xml:space="preserve">Data Sheet Requirements</w:t>
      </w:r>
    </w:p>
    <w:p>
      <w:pPr>
        <w:pStyle w:val="FirstParagraph"/>
      </w:pPr>
      <w:r>
        <w:t xml:space="preserve">Use ISA 20 forms to document instrument specification: include process tag number, service description, normal/maximum pressure, range, output, accuracy, operating temperature, process connection, material of construction, power supply, approvals and any special requirements.</w:t>
      </w:r>
    </w:p>
    <w:bookmarkEnd w:id="29"/>
    <w:bookmarkStart w:id="30" w:name="maintenance-and-inspection"/>
    <w:p>
      <w:pPr>
        <w:pStyle w:val="Heading2"/>
      </w:pPr>
      <w:r>
        <w:t xml:space="preserve">Maintenance and Inspection</w:t>
      </w:r>
    </w:p>
    <w:p>
      <w:pPr>
        <w:numPr>
          <w:ilvl w:val="0"/>
          <w:numId w:val="1008"/>
        </w:numPr>
        <w:pStyle w:val="Compact"/>
      </w:pPr>
      <w:r>
        <w:t xml:space="preserve">Inspect gauges and transmitters regularly for leaks, vibration damage and dial legibility.</w:t>
      </w:r>
    </w:p>
    <w:p>
      <w:pPr>
        <w:numPr>
          <w:ilvl w:val="0"/>
          <w:numId w:val="1008"/>
        </w:numPr>
        <w:pStyle w:val="Compact"/>
      </w:pPr>
      <w:r>
        <w:t xml:space="preserve">Replace liquid‑filled cases if fluid becomes cloudy or leaks.</w:t>
      </w:r>
    </w:p>
    <w:p>
      <w:pPr>
        <w:numPr>
          <w:ilvl w:val="0"/>
          <w:numId w:val="1008"/>
        </w:numPr>
        <w:pStyle w:val="Compact"/>
      </w:pPr>
      <w:r>
        <w:t xml:space="preserve">Check diaphragm seal fill level and replace fill fluid if vented.</w:t>
      </w:r>
    </w:p>
    <w:p>
      <w:pPr>
        <w:numPr>
          <w:ilvl w:val="0"/>
          <w:numId w:val="1008"/>
        </w:numPr>
        <w:pStyle w:val="Compact"/>
      </w:pPr>
      <w:r>
        <w:t xml:space="preserve">Maintain calibration records and schedule recalibration based on criticality.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E7E61FBED904B92122309BCCA55CC" ma:contentTypeVersion="3" ma:contentTypeDescription="Create a new document." ma:contentTypeScope="" ma:versionID="f45b9f1a2dc1661d112f5b90922c9b36">
  <xsd:schema xmlns:xsd="http://www.w3.org/2001/XMLSchema" xmlns:xs="http://www.w3.org/2001/XMLSchema" xmlns:p="http://schemas.microsoft.com/office/2006/metadata/properties" xmlns:ns2="16f3b03b-d1a1-4173-9409-438e94a8212d" targetNamespace="http://schemas.microsoft.com/office/2006/metadata/properties" ma:root="true" ma:fieldsID="c8b190d5ad8eba2d40942c7220ac700e" ns2:_="">
    <xsd:import namespace="16f3b03b-d1a1-4173-9409-438e94a821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3b03b-d1a1-4173-9409-438e94a82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D395EF-2451-40A0-8861-45BCE751747E}"/>
</file>

<file path=customXml/itemProps2.xml><?xml version="1.0" encoding="utf-8"?>
<ds:datastoreItem xmlns:ds="http://schemas.openxmlformats.org/officeDocument/2006/customXml" ds:itemID="{60728C6D-5617-43DC-88C5-29F110ECD540}"/>
</file>

<file path=customXml/itemProps3.xml><?xml version="1.0" encoding="utf-8"?>
<ds:datastoreItem xmlns:ds="http://schemas.openxmlformats.org/officeDocument/2006/customXml" ds:itemID="{340CE7F1-60FB-41D0-838A-9C7EF88FB41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2026-01-12T03:56:01Z</dcterms:created>
  <dcterms:modified xsi:type="dcterms:W3CDTF">2026-01-12T03:56:01Z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0x0101000A2E7E61FBED904B92122309BCCA55CC</vt:lpwstr>
  </property>
</Properties>
</file>