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aed69580cb1325a00e8cc2ba1604ca068c8340"/>
    <w:p>
      <w:pPr>
        <w:pStyle w:val="Heading1"/>
      </w:pPr>
      <w:r>
        <w:t xml:space="preserve">Instrumentation Safety and Protection Standards</w:t>
      </w:r>
    </w:p>
    <w:bookmarkStart w:id="20" w:name="introduction"/>
    <w:p>
      <w:pPr>
        <w:pStyle w:val="Heading2"/>
      </w:pPr>
      <w:r>
        <w:t xml:space="preserve">Introduction</w:t>
      </w:r>
    </w:p>
    <w:p>
      <w:pPr>
        <w:pStyle w:val="FirstParagraph"/>
      </w:pPr>
      <w:r>
        <w:t xml:space="preserve">Instrumentation safety systems protect personnel, equipment and the environment from hazardous conditions in a refinery. This includes fire and gas detection, safety instrumented functions, emergency shutdown (ESD) and high‑integrity pressure protection systems (HIPPS). These standards are aligned with IEC 61511, NFPA 72 and API 14C, and draw detailed requirements from industry specifications for combustible and toxic gas monitoring【51948133245220†L4273-L4376】.</w:t>
      </w:r>
    </w:p>
    <w:bookmarkEnd w:id="20"/>
    <w:bookmarkStart w:id="21" w:name="applicable-standards"/>
    <w:p>
      <w:pPr>
        <w:pStyle w:val="Heading2"/>
      </w:pPr>
      <w:r>
        <w:t xml:space="preserve">Applicable Standards</w:t>
      </w:r>
    </w:p>
    <w:p>
      <w:pPr>
        <w:pStyle w:val="FirstParagraph"/>
      </w:pPr>
      <w:r>
        <w:t xml:space="preserve">Instrumentation safety systems span pressure relief, hazardous area classification, fire and gas detection and safety instrumented functions. Applicable standards include:</w:t>
      </w:r>
    </w:p>
    <w:p>
      <w:pPr>
        <w:numPr>
          <w:ilvl w:val="0"/>
          <w:numId w:val="1001"/>
        </w:numPr>
        <w:pStyle w:val="Compact"/>
      </w:pPr>
      <w:r>
        <w:rPr>
          <w:bCs/>
          <w:b/>
        </w:rPr>
        <w:t xml:space="preserve">IEC 61511 / ISA 84 – Safety Instrumented Systems</w:t>
      </w:r>
      <w:r>
        <w:t xml:space="preserve"> </w:t>
      </w:r>
      <w:r>
        <w:t xml:space="preserve">– lifecycle requirements for safety instrumented functions (SIFs).</w:t>
      </w:r>
    </w:p>
    <w:p>
      <w:pPr>
        <w:numPr>
          <w:ilvl w:val="0"/>
          <w:numId w:val="1001"/>
        </w:numPr>
        <w:pStyle w:val="Compact"/>
      </w:pPr>
      <w:r>
        <w:rPr>
          <w:bCs/>
          <w:b/>
        </w:rPr>
        <w:t xml:space="preserve">IEC 61508 – Functional Safety</w:t>
      </w:r>
      <w:r>
        <w:t xml:space="preserve"> </w:t>
      </w:r>
      <w:r>
        <w:t xml:space="preserve">– foundational standard for safety PLC design.</w:t>
      </w:r>
    </w:p>
    <w:p>
      <w:pPr>
        <w:numPr>
          <w:ilvl w:val="0"/>
          <w:numId w:val="1001"/>
        </w:numPr>
        <w:pStyle w:val="Compact"/>
      </w:pPr>
      <w:r>
        <w:rPr>
          <w:bCs/>
          <w:b/>
        </w:rPr>
        <w:t xml:space="preserve">NFPA 72 / ISA 84.00.07 – Fire and Gas Detection Systems</w:t>
      </w:r>
      <w:r>
        <w:t xml:space="preserve"> </w:t>
      </w:r>
      <w:r>
        <w:t xml:space="preserve">– design of fire alarm and gas detection systems【257831869405972†L404-L446】.</w:t>
      </w:r>
    </w:p>
    <w:p>
      <w:pPr>
        <w:numPr>
          <w:ilvl w:val="0"/>
          <w:numId w:val="1001"/>
        </w:numPr>
        <w:pStyle w:val="Compact"/>
      </w:pPr>
      <w:r>
        <w:rPr>
          <w:bCs/>
          <w:b/>
        </w:rPr>
        <w:t xml:space="preserve">NFPA 70 (National Electrical Code)</w:t>
      </w:r>
      <w:r>
        <w:t xml:space="preserve"> </w:t>
      </w:r>
      <w:r>
        <w:t xml:space="preserve">– requirements for electrical equipment installation in hazardous locations【257831869405972†L404-L446】.</w:t>
      </w:r>
    </w:p>
    <w:p>
      <w:pPr>
        <w:numPr>
          <w:ilvl w:val="0"/>
          <w:numId w:val="1001"/>
        </w:numPr>
        <w:pStyle w:val="Compact"/>
      </w:pPr>
      <w:r>
        <w:rPr>
          <w:bCs/>
          <w:b/>
        </w:rPr>
        <w:t xml:space="preserve">API 520/521 – Sizing, Selection and Installation of Pressure‑Relief Devices</w:t>
      </w:r>
      <w:r>
        <w:t xml:space="preserve"> </w:t>
      </w:r>
      <w:r>
        <w:t xml:space="preserve">– procedures for over‑pressure protection of vessels and piping【658884660910242†L35-L64】.</w:t>
      </w:r>
    </w:p>
    <w:p>
      <w:pPr>
        <w:numPr>
          <w:ilvl w:val="0"/>
          <w:numId w:val="1001"/>
        </w:numPr>
        <w:pStyle w:val="Compact"/>
      </w:pPr>
      <w:r>
        <w:rPr>
          <w:bCs/>
          <w:b/>
        </w:rPr>
        <w:t xml:space="preserve">API 2350 – Overfill Prevention for Storage Tanks</w:t>
      </w:r>
      <w:r>
        <w:t xml:space="preserve"> </w:t>
      </w:r>
      <w:r>
        <w:t xml:space="preserve">– risk‑based guidelines for preventing overfill of aboveground storage tanks【102983332253164†L29-L58】.</w:t>
      </w:r>
    </w:p>
    <w:p>
      <w:pPr>
        <w:numPr>
          <w:ilvl w:val="0"/>
          <w:numId w:val="1001"/>
        </w:numPr>
        <w:pStyle w:val="Compact"/>
      </w:pPr>
      <w:r>
        <w:rPr>
          <w:bCs/>
          <w:b/>
        </w:rPr>
        <w:t xml:space="preserve">API RP 500 / API RP 505 – Classification of Hazardous Locations</w:t>
      </w:r>
      <w:r>
        <w:t xml:space="preserve"> </w:t>
      </w:r>
      <w:r>
        <w:t xml:space="preserve">– recommended practices for determining and classifying hazardous (Class I, Division 1 and 2) areas in petroleum facilities【658884660910242†L35-L64】.</w:t>
      </w:r>
    </w:p>
    <w:p>
      <w:pPr>
        <w:numPr>
          <w:ilvl w:val="0"/>
          <w:numId w:val="1001"/>
        </w:numPr>
        <w:pStyle w:val="Compact"/>
      </w:pPr>
      <w:r>
        <w:rPr>
          <w:bCs/>
          <w:b/>
        </w:rPr>
        <w:t xml:space="preserve">API 14C – Safety Analysis and Devices</w:t>
      </w:r>
      <w:r>
        <w:t xml:space="preserve"> </w:t>
      </w:r>
      <w:r>
        <w:t xml:space="preserve">– guidelines for process safety analysis and safety devices on offshore production platforms.</w:t>
      </w:r>
    </w:p>
    <w:p>
      <w:pPr>
        <w:numPr>
          <w:ilvl w:val="0"/>
          <w:numId w:val="1001"/>
        </w:numPr>
        <w:pStyle w:val="Compact"/>
      </w:pPr>
      <w:r>
        <w:rPr>
          <w:bCs/>
          <w:b/>
        </w:rPr>
        <w:t xml:space="preserve">ANSI/ISA 60079 / IEC 60079</w:t>
      </w:r>
      <w:r>
        <w:t xml:space="preserve"> </w:t>
      </w:r>
      <w:r>
        <w:t xml:space="preserve">– electrical equipment for hazardous locations (explosive atmospheres).</w:t>
      </w:r>
    </w:p>
    <w:bookmarkEnd w:id="21"/>
    <w:bookmarkStart w:id="22" w:name="equipment-types"/>
    <w:p>
      <w:pPr>
        <w:pStyle w:val="Heading2"/>
      </w:pPr>
      <w:r>
        <w:t xml:space="preserve">Equipment Types</w:t>
      </w:r>
    </w:p>
    <w:p>
      <w:pPr>
        <w:numPr>
          <w:ilvl w:val="0"/>
          <w:numId w:val="1002"/>
        </w:numPr>
        <w:pStyle w:val="Compact"/>
      </w:pPr>
      <w:r>
        <w:rPr>
          <w:bCs/>
          <w:b/>
        </w:rPr>
        <w:t xml:space="preserve">Gas detection systems</w:t>
      </w:r>
      <w:r>
        <w:t xml:space="preserve">: electronic catalytic bead sensors for combustible gas; electrochemical sensors for toxic gases; remote sensors connected to monitor/readout units with digital signal transmission【51948133245220†L4273-L4344】.</w:t>
      </w:r>
    </w:p>
    <w:p>
      <w:pPr>
        <w:numPr>
          <w:ilvl w:val="0"/>
          <w:numId w:val="1002"/>
        </w:numPr>
        <w:pStyle w:val="Compact"/>
      </w:pPr>
      <w:r>
        <w:rPr>
          <w:bCs/>
          <w:b/>
        </w:rPr>
        <w:t xml:space="preserve">Flame and UV/IR detectors</w:t>
      </w:r>
      <w:r>
        <w:t xml:space="preserve">: optical detectors for hydrocarbon fires; maintain field of view.</w:t>
      </w:r>
    </w:p>
    <w:p>
      <w:pPr>
        <w:numPr>
          <w:ilvl w:val="0"/>
          <w:numId w:val="1002"/>
        </w:numPr>
        <w:pStyle w:val="Compact"/>
      </w:pPr>
      <w:r>
        <w:rPr>
          <w:bCs/>
          <w:b/>
        </w:rPr>
        <w:t xml:space="preserve">Heat and smoke detectors</w:t>
      </w:r>
      <w:r>
        <w:t xml:space="preserve">: thermal and optical sensors for enclosed spaces.</w:t>
      </w:r>
    </w:p>
    <w:p>
      <w:pPr>
        <w:numPr>
          <w:ilvl w:val="0"/>
          <w:numId w:val="1002"/>
        </w:numPr>
        <w:pStyle w:val="Compact"/>
      </w:pPr>
      <w:r>
        <w:rPr>
          <w:bCs/>
          <w:b/>
        </w:rPr>
        <w:t xml:space="preserve">Safety instrumented functions</w:t>
      </w:r>
      <w:r>
        <w:t xml:space="preserve">: sensors, logic solvers and final elements (e.g., ESD valves) designed to achieve specified SIL levels.</w:t>
      </w:r>
    </w:p>
    <w:p>
      <w:pPr>
        <w:numPr>
          <w:ilvl w:val="0"/>
          <w:numId w:val="1002"/>
        </w:numPr>
        <w:pStyle w:val="Compact"/>
      </w:pPr>
      <w:r>
        <w:rPr>
          <w:bCs/>
          <w:b/>
        </w:rPr>
        <w:t xml:space="preserve">Emergency shutdown systems (ESD)</w:t>
      </w:r>
      <w:r>
        <w:t xml:space="preserve">: dedicated safety PLCs or relay panels controlling shutdown valves, blowers and pumps.</w:t>
      </w:r>
    </w:p>
    <w:p>
      <w:pPr>
        <w:numPr>
          <w:ilvl w:val="0"/>
          <w:numId w:val="1002"/>
        </w:numPr>
        <w:pStyle w:val="Compact"/>
      </w:pPr>
      <w:r>
        <w:rPr>
          <w:bCs/>
          <w:b/>
        </w:rPr>
        <w:t xml:space="preserve">High‑integrity pressure protection systems (HIPPS)</w:t>
      </w:r>
      <w:r>
        <w:t xml:space="preserve">: independent protection layers preventing over‑pressure.</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System architecture</w:t>
      </w:r>
      <w:r>
        <w:t xml:space="preserve"> </w:t>
      </w:r>
      <w:r>
        <w:t xml:space="preserve">– design fire and gas (F&amp;G) systems separate from BPCS; use addressable field devices; provide redundancy in power and communication.</w:t>
      </w:r>
    </w:p>
    <w:p>
      <w:pPr>
        <w:numPr>
          <w:ilvl w:val="0"/>
          <w:numId w:val="1003"/>
        </w:numPr>
        <w:pStyle w:val="Compact"/>
      </w:pPr>
      <w:r>
        <w:rPr>
          <w:bCs/>
          <w:b/>
        </w:rPr>
        <w:t xml:space="preserve">Sensors</w:t>
      </w:r>
      <w:r>
        <w:t xml:space="preserve"> </w:t>
      </w:r>
      <w:r>
        <w:t xml:space="preserve">– gas sensors shall be housed in enclosures suitable for Class 1 Division 1, Groups C and D, and connected via digital or frequency signals to avoid RFI/EMI【51948133245220†L4273-L4311】; sensors must resist silicone and sulfur poisoning【51948133245220†L4320-L4323】; service life ≥1 year【51948133245220†L4324-L4331】.</w:t>
      </w:r>
    </w:p>
    <w:p>
      <w:pPr>
        <w:numPr>
          <w:ilvl w:val="0"/>
          <w:numId w:val="1003"/>
        </w:numPr>
        <w:pStyle w:val="Compact"/>
      </w:pPr>
      <w:r>
        <w:rPr>
          <w:bCs/>
          <w:b/>
        </w:rPr>
        <w:t xml:space="preserve">Monitor/readout units</w:t>
      </w:r>
      <w:r>
        <w:t xml:space="preserve"> </w:t>
      </w:r>
      <w:r>
        <w:t xml:space="preserve">– provide LED displays indicating gas concentration with caution, warning and alarm lights; include adjustable setpoints and latching or non‑latching alarms【51948133245220†L4330-L4347】.</w:t>
      </w:r>
    </w:p>
    <w:p>
      <w:pPr>
        <w:numPr>
          <w:ilvl w:val="0"/>
          <w:numId w:val="1003"/>
        </w:numPr>
        <w:pStyle w:val="Compact"/>
      </w:pPr>
      <w:r>
        <w:rPr>
          <w:bCs/>
          <w:b/>
        </w:rPr>
        <w:t xml:space="preserve">Alarm logic</w:t>
      </w:r>
      <w:r>
        <w:t xml:space="preserve"> </w:t>
      </w:r>
      <w:r>
        <w:t xml:space="preserve">– provide multiple setpoint levels; include horn and alarm silence/reset functions; incorporate relays rated 5 A at 120 VAC for annunciation【51948133245220†L4343-L4351】.</w:t>
      </w:r>
    </w:p>
    <w:p>
      <w:pPr>
        <w:numPr>
          <w:ilvl w:val="0"/>
          <w:numId w:val="1003"/>
        </w:numPr>
        <w:pStyle w:val="Compact"/>
      </w:pPr>
      <w:r>
        <w:rPr>
          <w:bCs/>
          <w:b/>
        </w:rPr>
        <w:t xml:space="preserve">SIS design</w:t>
      </w:r>
      <w:r>
        <w:t xml:space="preserve"> </w:t>
      </w:r>
      <w:r>
        <w:t xml:space="preserve">– determine Safety Integrity Level (SIL) per risk assessment; design SIFs with hardware and software fault tolerance; document proof test intervals.</w:t>
      </w:r>
    </w:p>
    <w:p>
      <w:pPr>
        <w:numPr>
          <w:ilvl w:val="0"/>
          <w:numId w:val="1003"/>
        </w:numPr>
        <w:pStyle w:val="Compact"/>
      </w:pPr>
      <w:r>
        <w:rPr>
          <w:bCs/>
          <w:b/>
        </w:rPr>
        <w:t xml:space="preserve">Environmental ratings</w:t>
      </w:r>
      <w:r>
        <w:t xml:space="preserve"> </w:t>
      </w:r>
      <w:r>
        <w:t xml:space="preserve">– specify IP66/NEMA 4X enclosures; design for temperature range –40 °C to +60 °C.</w:t>
      </w:r>
    </w:p>
    <w:bookmarkEnd w:id="23"/>
    <w:bookmarkStart w:id="25" w:name="installation-guidelines"/>
    <w:p>
      <w:pPr>
        <w:pStyle w:val="Heading2"/>
      </w:pPr>
      <w:r>
        <w:t xml:space="preserve">Installation Guidelines</w:t>
      </w:r>
    </w:p>
    <w:p>
      <w:pPr>
        <w:numPr>
          <w:ilvl w:val="0"/>
          <w:numId w:val="1004"/>
        </w:numPr>
        <w:pStyle w:val="Compact"/>
      </w:pPr>
      <w:r>
        <w:rPr>
          <w:bCs/>
          <w:b/>
        </w:rPr>
        <w:t xml:space="preserve">Placement</w:t>
      </w:r>
      <w:r>
        <w:t xml:space="preserve">: locate gas sensors at appropriate elevations (near floor for heavier‑than‑air gases, near ceiling for lighter‑than‑air gases); place around potential leak sources.</w:t>
      </w:r>
    </w:p>
    <w:p>
      <w:pPr>
        <w:numPr>
          <w:ilvl w:val="0"/>
          <w:numId w:val="1004"/>
        </w:numPr>
        <w:pStyle w:val="Compact"/>
      </w:pPr>
      <w:r>
        <w:rPr>
          <w:bCs/>
          <w:b/>
        </w:rPr>
        <w:t xml:space="preserve">Coverage</w:t>
      </w:r>
      <w:r>
        <w:t xml:space="preserve">: ensure detectors provide overlapping coverage; follow F&amp;G mapping study results.</w:t>
      </w:r>
    </w:p>
    <w:p>
      <w:pPr>
        <w:numPr>
          <w:ilvl w:val="0"/>
          <w:numId w:val="1004"/>
        </w:numPr>
        <w:pStyle w:val="Compact"/>
      </w:pPr>
      <w:r>
        <w:rPr>
          <w:bCs/>
          <w:b/>
        </w:rPr>
        <w:t xml:space="preserve">Wiring</w:t>
      </w:r>
      <w:r>
        <w:t xml:space="preserve">: use shielded twisted‑pair cable; maintain separation from power cables; provide conduit seals to prevent gas migration.</w:t>
      </w:r>
    </w:p>
    <w:p>
      <w:pPr>
        <w:numPr>
          <w:ilvl w:val="0"/>
          <w:numId w:val="1004"/>
        </w:numPr>
        <w:pStyle w:val="Compact"/>
      </w:pPr>
      <w:r>
        <w:rPr>
          <w:bCs/>
          <w:b/>
        </w:rPr>
        <w:t xml:space="preserve">ESD valves</w:t>
      </w:r>
      <w:r>
        <w:t xml:space="preserve">: mount actuators with fail‑safe position; test for closure time; provide manual trip stations at exits.</w:t>
      </w:r>
    </w:p>
    <w:p>
      <w:pPr>
        <w:numPr>
          <w:ilvl w:val="0"/>
          <w:numId w:val="1004"/>
        </w:numPr>
        <w:pStyle w:val="Compact"/>
      </w:pPr>
      <w:r>
        <w:rPr>
          <w:bCs/>
          <w:b/>
        </w:rPr>
        <w:t xml:space="preserve">Control room</w:t>
      </w:r>
      <w:r>
        <w:t xml:space="preserve">: locate alarm panels in continuously attended areas; provide audible and visual alarms.</w:t>
      </w:r>
    </w:p>
    <w:bookmarkStart w:id="24" w:name="gas-detector-placement-and-maintenance"/>
    <w:p>
      <w:pPr>
        <w:pStyle w:val="Heading3"/>
      </w:pPr>
      <w:r>
        <w:t xml:space="preserve">Gas Detector Placement and Maintenance</w:t>
      </w:r>
    </w:p>
    <w:p>
      <w:pPr>
        <w:pStyle w:val="FirstParagraph"/>
      </w:pPr>
      <w:r>
        <w:t xml:space="preserve">Correct placement and proactive maintenance of gas detectors are essential for early detection of hazardous gases. Follow these guidelines【720678340073330†L89-L126】【720678340073330†L163-L189】:</w:t>
      </w:r>
    </w:p>
    <w:p>
      <w:pPr>
        <w:numPr>
          <w:ilvl w:val="0"/>
          <w:numId w:val="1005"/>
        </w:numPr>
        <w:pStyle w:val="Compact"/>
      </w:pPr>
      <w:r>
        <w:rPr>
          <w:bCs/>
          <w:b/>
        </w:rPr>
        <w:t xml:space="preserve">Hazard assessment</w:t>
      </w:r>
      <w:r>
        <w:t xml:space="preserve"> </w:t>
      </w:r>
      <w:r>
        <w:t xml:space="preserve">– Identify potential leak sources such as storage rooms, boiler rooms, compressor houses and valves. Conduct a hazard assessment to determine the optimal locations for sensors and control panels【720678340073330†L89-L126】.</w:t>
      </w:r>
    </w:p>
    <w:p>
      <w:pPr>
        <w:numPr>
          <w:ilvl w:val="0"/>
          <w:numId w:val="1005"/>
        </w:numPr>
        <w:pStyle w:val="Compact"/>
      </w:pPr>
      <w:r>
        <w:rPr>
          <w:bCs/>
          <w:b/>
        </w:rPr>
        <w:t xml:space="preserve">Avoid obstructions</w:t>
      </w:r>
      <w:r>
        <w:t xml:space="preserve"> </w:t>
      </w:r>
      <w:r>
        <w:t xml:space="preserve">– Mount sensors where gas can reach them unobstructed; avoid placing behind barriers or in corners where airflow is restricted【720678340073330†L89-L126】.</w:t>
      </w:r>
    </w:p>
    <w:p>
      <w:pPr>
        <w:numPr>
          <w:ilvl w:val="0"/>
          <w:numId w:val="1005"/>
        </w:numPr>
        <w:pStyle w:val="Compact"/>
      </w:pPr>
      <w:r>
        <w:rPr>
          <w:bCs/>
          <w:b/>
        </w:rPr>
        <w:t xml:space="preserve">Consider environment</w:t>
      </w:r>
      <w:r>
        <w:t xml:space="preserve"> </w:t>
      </w:r>
      <w:r>
        <w:t xml:space="preserve">– Account for temperature, humidity, ventilation and airflow patterns that could influence gas dispersion; install protective covers if condensation or dust is expected【720678340073330†L89-L126】.</w:t>
      </w:r>
    </w:p>
    <w:p>
      <w:pPr>
        <w:numPr>
          <w:ilvl w:val="0"/>
          <w:numId w:val="1005"/>
        </w:numPr>
        <w:pStyle w:val="Compact"/>
      </w:pPr>
      <w:r>
        <w:rPr>
          <w:bCs/>
          <w:b/>
        </w:rPr>
        <w:t xml:space="preserve">Sensor elevation</w:t>
      </w:r>
      <w:r>
        <w:t xml:space="preserve"> </w:t>
      </w:r>
      <w:r>
        <w:t xml:space="preserve">– Position sensors based on gas density: near the floor for gases heavier than air, near the ceiling for lighter gases, and at breathing‑zone height for gases with density similar to air【720678340073330†L89-L126】.</w:t>
      </w:r>
    </w:p>
    <w:p>
      <w:pPr>
        <w:numPr>
          <w:ilvl w:val="0"/>
          <w:numId w:val="1005"/>
        </w:numPr>
        <w:pStyle w:val="Compact"/>
      </w:pPr>
      <w:r>
        <w:rPr>
          <w:bCs/>
          <w:b/>
        </w:rPr>
        <w:t xml:space="preserve">Overlapping coverage</w:t>
      </w:r>
      <w:r>
        <w:t xml:space="preserve"> </w:t>
      </w:r>
      <w:r>
        <w:t xml:space="preserve">– Provide overlapping detection zones to ensure there are no blind spots; refer to fire and gas mapping studies for coverage requirements【720678340073330†L163-L189】.</w:t>
      </w:r>
    </w:p>
    <w:p>
      <w:pPr>
        <w:numPr>
          <w:ilvl w:val="0"/>
          <w:numId w:val="1005"/>
        </w:numPr>
        <w:pStyle w:val="Compact"/>
      </w:pPr>
      <w:r>
        <w:rPr>
          <w:bCs/>
          <w:b/>
        </w:rPr>
        <w:t xml:space="preserve">Accessibility</w:t>
      </w:r>
      <w:r>
        <w:t xml:space="preserve"> </w:t>
      </w:r>
      <w:r>
        <w:t xml:space="preserve">– Mount detectors so they are accessible for calibration and maintenance without requiring scaffolding; avoid locations that expose maintenance personnel to hazards【720678340073330†L163-L189】.</w:t>
      </w:r>
    </w:p>
    <w:p>
      <w:pPr>
        <w:numPr>
          <w:ilvl w:val="0"/>
          <w:numId w:val="1005"/>
        </w:numPr>
        <w:pStyle w:val="Compact"/>
      </w:pPr>
      <w:r>
        <w:rPr>
          <w:bCs/>
          <w:b/>
        </w:rPr>
        <w:t xml:space="preserve">Maintenance schedule</w:t>
      </w:r>
      <w:r>
        <w:t xml:space="preserve"> </w:t>
      </w:r>
      <w:r>
        <w:t xml:space="preserve">– Calibrate and test detectors on a regular schedule (typically quarterly or semi‑annually) using certified calibration gases; inspect sensors for contamination, corrosion and damage; document maintenance and calibration records for compliance audits【720678340073330†L163-L189】.</w:t>
      </w:r>
    </w:p>
    <w:bookmarkEnd w:id="24"/>
    <w:bookmarkEnd w:id="25"/>
    <w:bookmarkStart w:id="26" w:name="calibration-and-testing"/>
    <w:p>
      <w:pPr>
        <w:pStyle w:val="Heading2"/>
      </w:pPr>
      <w:r>
        <w:t xml:space="preserve">Calibration and Testing</w:t>
      </w:r>
    </w:p>
    <w:p>
      <w:pPr>
        <w:numPr>
          <w:ilvl w:val="0"/>
          <w:numId w:val="1006"/>
        </w:numPr>
        <w:pStyle w:val="Compact"/>
      </w:pPr>
      <w:r>
        <w:t xml:space="preserve">Calibrate gas detectors regularly using certified calibration gases; verify zero and span.</w:t>
      </w:r>
    </w:p>
    <w:p>
      <w:pPr>
        <w:numPr>
          <w:ilvl w:val="0"/>
          <w:numId w:val="1006"/>
        </w:numPr>
        <w:pStyle w:val="Compact"/>
      </w:pPr>
      <w:r>
        <w:t xml:space="preserve">Perform functional tests of flame, smoke and heat detectors.</w:t>
      </w:r>
    </w:p>
    <w:p>
      <w:pPr>
        <w:numPr>
          <w:ilvl w:val="0"/>
          <w:numId w:val="1006"/>
        </w:numPr>
        <w:pStyle w:val="Compact"/>
      </w:pPr>
      <w:r>
        <w:t xml:space="preserve">Conduct periodic proof tests for SIFs to meet SIL requirements; document results.</w:t>
      </w:r>
    </w:p>
    <w:bookmarkEnd w:id="26"/>
    <w:bookmarkStart w:id="27" w:name="safety-considerations"/>
    <w:p>
      <w:pPr>
        <w:pStyle w:val="Heading2"/>
      </w:pPr>
      <w:r>
        <w:t xml:space="preserve">Safety Considerations</w:t>
      </w:r>
    </w:p>
    <w:p>
      <w:pPr>
        <w:numPr>
          <w:ilvl w:val="0"/>
          <w:numId w:val="1007"/>
        </w:numPr>
        <w:pStyle w:val="Compact"/>
      </w:pPr>
      <w:r>
        <w:t xml:space="preserve">Implement common cause failure mitigation (diversity, separation).</w:t>
      </w:r>
    </w:p>
    <w:p>
      <w:pPr>
        <w:numPr>
          <w:ilvl w:val="0"/>
          <w:numId w:val="1007"/>
        </w:numPr>
        <w:pStyle w:val="Compact"/>
      </w:pPr>
      <w:r>
        <w:t xml:space="preserve">Use intrinsically safe barriers or galvanic isolators for sensor loops.</w:t>
      </w:r>
    </w:p>
    <w:p>
      <w:pPr>
        <w:numPr>
          <w:ilvl w:val="0"/>
          <w:numId w:val="1007"/>
        </w:numPr>
        <w:pStyle w:val="Compact"/>
      </w:pPr>
      <w:r>
        <w:t xml:space="preserve">Provide uninterruptible power supply for F&amp;G system.</w:t>
      </w:r>
    </w:p>
    <w:p>
      <w:pPr>
        <w:numPr>
          <w:ilvl w:val="0"/>
          <w:numId w:val="1007"/>
        </w:numPr>
        <w:pStyle w:val="Compact"/>
      </w:pPr>
      <w:r>
        <w:t xml:space="preserve">Train personnel on alarm response and emergency procedures.</w:t>
      </w:r>
    </w:p>
    <w:bookmarkEnd w:id="27"/>
    <w:bookmarkStart w:id="28" w:name="data-sheet-requirements"/>
    <w:p>
      <w:pPr>
        <w:pStyle w:val="Heading2"/>
      </w:pPr>
      <w:r>
        <w:t xml:space="preserve">Data Sheet Requirements</w:t>
      </w:r>
    </w:p>
    <w:p>
      <w:pPr>
        <w:pStyle w:val="FirstParagraph"/>
      </w:pPr>
      <w:r>
        <w:t xml:space="preserve">Document detector type, range, response time, location, gas type, setpoint levels, SIL requirement, enclosure rating, output signal, power supply, approvals and calibration frequency.</w:t>
      </w:r>
    </w:p>
    <w:bookmarkEnd w:id="28"/>
    <w:bookmarkStart w:id="29" w:name="maintenance-and-inspection"/>
    <w:p>
      <w:pPr>
        <w:pStyle w:val="Heading2"/>
      </w:pPr>
      <w:r>
        <w:t xml:space="preserve">Maintenance and Inspection</w:t>
      </w:r>
    </w:p>
    <w:p>
      <w:pPr>
        <w:numPr>
          <w:ilvl w:val="0"/>
          <w:numId w:val="1008"/>
        </w:numPr>
        <w:pStyle w:val="Compact"/>
      </w:pPr>
      <w:r>
        <w:t xml:space="preserve">Inspect detectors for contamination or blockage; replace sensors at end of life.</w:t>
      </w:r>
    </w:p>
    <w:p>
      <w:pPr>
        <w:numPr>
          <w:ilvl w:val="0"/>
          <w:numId w:val="1008"/>
        </w:numPr>
        <w:pStyle w:val="Compact"/>
      </w:pPr>
      <w:r>
        <w:t xml:space="preserve">Test alarm horns and beacons; verify functioning of relays and shutdown devices.</w:t>
      </w:r>
    </w:p>
    <w:p>
      <w:pPr>
        <w:numPr>
          <w:ilvl w:val="0"/>
          <w:numId w:val="1008"/>
        </w:numPr>
        <w:pStyle w:val="Compact"/>
      </w:pPr>
      <w:r>
        <w:t xml:space="preserve">Update F&amp;G mapping and test schedules after plant modifications.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704-C088-44EE-91AB-C66A75C7E3F0}"/>
</file>

<file path=customXml/itemProps2.xml><?xml version="1.0" encoding="utf-8"?>
<ds:datastoreItem xmlns:ds="http://schemas.openxmlformats.org/officeDocument/2006/customXml" ds:itemID="{2BAA6FA2-18C6-443E-AFBE-B9DADBBE9660}"/>
</file>

<file path=customXml/itemProps3.xml><?xml version="1.0" encoding="utf-8"?>
<ds:datastoreItem xmlns:ds="http://schemas.openxmlformats.org/officeDocument/2006/customXml" ds:itemID="{51EC3CE7-ADB3-4658-9DB8-3A73871415D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2026-01-12T03:56:02Z</dcterms:created>
  <dcterms:modified xsi:type="dcterms:W3CDTF">2026-01-12T03:56:02Z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