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Deployment Guide</w:t>
      </w:r>
    </w:p>
    <w:p>
      <w:r>
        <w:t>This guide describes local deployment, persistent storage, and basic troubleshooting for Multi-Format Data Embedding and Retrieval.</w:t>
      </w:r>
    </w:p>
    <w:p>
      <w:pPr>
        <w:pStyle w:val="Heading1"/>
      </w:pPr>
      <w:r>
        <w:t>Local Development</w:t>
      </w:r>
    </w:p>
    <w:p>
      <w:r>
        <w:t>The application API runs directly on the developer’s Windows computer. FastAPI serves HTTP requests on port 8000. Qdrant runs in Docker and is accessible through local port 6333.</w:t>
      </w:r>
    </w:p>
    <w:p>
      <w:pPr>
        <w:pStyle w:val="Heading1"/>
      </w:pPr>
      <w:r>
        <w:t>Starting the Application</w:t>
      </w:r>
    </w:p>
    <w:p>
      <w:r>
        <w:t>Start Docker Desktop before starting Qdrant. Run docker compose up -d from the project root. After Qdrant is available, start the FastAPI application.</w:t>
      </w:r>
    </w:p>
    <w:p>
      <w:pPr>
        <w:pStyle w:val="Heading1"/>
      </w:pPr>
      <w:r>
        <w:t>Persistent Storage</w:t>
      </w:r>
    </w:p>
    <w:p>
      <w:r>
        <w:t>Qdrant stores its database files in a Docker named volume. Recreating the container with the same volume preserves the database files. The volume is not a backup.</w:t>
      </w:r>
    </w:p>
    <w:p>
      <w:pPr>
        <w:pStyle w:val="Heading1"/>
      </w:pPr>
      <w:r>
        <w:t>Troubleshooting</w:t>
      </w:r>
    </w:p>
    <w:p>
      <w:r>
        <w:t>If the API cannot reach Qdrant, first check the container status and the configured QDRANT_URL. If an external model request fails, inspect the provider’s error message before changing application code.</w:t>
      </w:r>
    </w:p>
    <w:p>
      <w:pPr>
        <w:pStyle w:val="Heading1"/>
      </w:pPr>
      <w:r>
        <w:t>Service Reference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5184"/>
        <w:gridCol w:w="1728"/>
      </w:tblGrid>
      <w:tr>
        <w:tc>
          <w:tcPr>
            <w:tcW w:type="dxa" w:w="3264"/>
            <w:vAlign w:val="center"/>
            <w:shd w:fill="E8EDF2"/>
          </w:tcPr>
          <w:p>
            <w:pPr>
              <w:spacing w:before="100" w:after="100"/>
            </w:pPr>
            <w:r>
              <w:rPr>
                <w:b/>
              </w:rPr>
              <w:t>Service</w:t>
            </w:r>
          </w:p>
        </w:tc>
        <w:tc>
          <w:tcPr>
            <w:tcW w:type="dxa" w:w="3264"/>
            <w:vAlign w:val="center"/>
            <w:shd w:fill="E8EDF2"/>
          </w:tcPr>
          <w:p>
            <w:pPr>
              <w:spacing w:before="100" w:after="100"/>
            </w:pPr>
            <w:r>
              <w:rPr>
                <w:b/>
              </w:rPr>
              <w:t>Location</w:t>
            </w:r>
          </w:p>
        </w:tc>
        <w:tc>
          <w:tcPr>
            <w:tcW w:type="dxa" w:w="3264"/>
            <w:vAlign w:val="center"/>
            <w:shd w:fill="E8EDF2"/>
          </w:tcPr>
          <w:p>
            <w:pPr>
              <w:spacing w:before="100" w:after="100"/>
            </w:pPr>
            <w:r>
              <w:rPr>
                <w:b/>
              </w:rPr>
              <w:t>Port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100" w:after="100"/>
            </w:pPr>
            <w:r>
              <w:rPr>
                <w:b w:val="0"/>
              </w:rPr>
              <w:t>FastAPI</w:t>
            </w:r>
          </w:p>
        </w:tc>
        <w:tc>
          <w:tcPr>
            <w:tcW w:type="dxa" w:w="5184"/>
            <w:vAlign w:val="center"/>
          </w:tcPr>
          <w:p>
            <w:pPr>
              <w:spacing w:before="100" w:after="100"/>
            </w:pPr>
            <w:r>
              <w:rPr>
                <w:b w:val="0"/>
              </w:rPr>
              <w:t>Windows host</w:t>
            </w:r>
          </w:p>
        </w:tc>
        <w:tc>
          <w:tcPr>
            <w:tcW w:type="dxa" w:w="1728"/>
            <w:vAlign w:val="center"/>
          </w:tcPr>
          <w:p>
            <w:pPr>
              <w:spacing w:before="100" w:after="100"/>
            </w:pPr>
            <w:r>
              <w:rPr>
                <w:b w:val="0"/>
              </w:rPr>
              <w:t>8000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100" w:after="100"/>
            </w:pPr>
            <w:r>
              <w:rPr>
                <w:b w:val="0"/>
              </w:rPr>
              <w:t>Qdrant</w:t>
            </w:r>
          </w:p>
        </w:tc>
        <w:tc>
          <w:tcPr>
            <w:tcW w:type="dxa" w:w="5184"/>
            <w:vAlign w:val="center"/>
          </w:tcPr>
          <w:p>
            <w:pPr>
              <w:spacing w:before="100" w:after="100"/>
            </w:pPr>
            <w:r>
              <w:rPr>
                <w:b w:val="0"/>
              </w:rPr>
              <w:t>Docker container</w:t>
            </w:r>
          </w:p>
        </w:tc>
        <w:tc>
          <w:tcPr>
            <w:tcW w:type="dxa" w:w="1728"/>
            <w:vAlign w:val="center"/>
          </w:tcPr>
          <w:p>
            <w:pPr>
              <w:spacing w:before="100" w:after="100"/>
            </w:pPr>
            <w:r>
              <w:rPr>
                <w:b w:val="0"/>
              </w:rPr>
              <w:t>6333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