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</w:t>
      </w:r>
      <w:r w:rsidDel="00000000" w:rsidR="00000000" w:rsidRPr="00000000">
        <w:rPr>
          <w:color w:val="111111"/>
          <w:rtl w:val="0"/>
        </w:rPr>
        <w:t xml:space="preserve">A normal distribution is the proper term for a probability bell curve,In a normal distribution the mean is zero and the standard deviation is 1. It has zero skew ,normal distributions are symmetrical, but not all symmetrical distributions are normal.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 Mean or Median imputation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A/B tests consist of a randomized experiment with two variants, A and B. It includes application of statistical hypothesis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YES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n statistics, linear regression is a linear approach to modelling the relationship between a scalar response and one or more explanatory variables. The case of one explanatory variable is called simple linear regression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</w:t>
      </w:r>
      <w:r w:rsidDel="00000000" w:rsidR="00000000" w:rsidRPr="00000000">
        <w:rPr>
          <w:color w:val="202124"/>
          <w:highlight w:val="white"/>
          <w:rtl w:val="0"/>
        </w:rPr>
        <w:t xml:space="preserve">escriptive statistics and inferential statistics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