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Report: mlops</w:t>
      </w:r>
    </w:p>
    <w:p>
      <w:pPr>
        <w:pStyle w:val="Heading1"/>
      </w:pPr>
      <w:r>
        <w:t>Introduction: The Compliance-Velocity Imperative in MLOps</w:t>
      </w:r>
    </w:p>
    <w:p>
      <w:r>
        <w:t>The European Union’s AI Act represents a watershed moment for artificial intelligence, establishing the world’s first comprehensive regulatory framework for high-risk AI systems. Its stringent mandates—covering data provenance, human oversight, and continuous post-deployment monitoring—are not mere suggestions but legal obligations with severe penalties for non-compliance. This creates an existential tension for organizations practicing modern MLOps and DevOps, cultures fundamentally built on rapid iteration, continuous integration, and high-velocity deployment. The instinctive reaction is to treat compliance as a manual, post-hoc gatekeeping burden: a checklist appended to the end of the pipeline, slowing release cycles and creating friction between engineering speed and legal necessity.</w:t>
      </w:r>
    </w:p>
    <w:p>
      <w:r>
        <w:t>This report argues that such an approach is not only unsustainable but fundamentally misguided. The solution to the “compliance vs. velocity” dilemma is not to choose between them, but to dissolve the dichotomy altogether. The answer lies in **re-architecting MLOps pipelines from the ground up**, transforming regulatory adherence from an external constraint into an automated, inherent byproduct of the development workflow. By embedding the principles of the AI Act—traceability, oversight, and monitoring—directly into the pipeline’s architecture, organizations can achieve a synthesis where “shipping the model” and “proving compliance” become a single, automated action.</w:t>
      </w:r>
    </w:p>
    <w:p>
      <w:r>
        <w:t>We will explore this paradigm shift through three critical redesign pillars: **1) Automating Data Provenance &amp; Lineage** to satisfy traceability requirements without manual toil; **2) Architecting Human Oversight as a First-Class, Scalable Component** beyond simplistic checkboxes; and **3) Implementing Continuous, Automated Monitoring** that acts as an active guardian post-deployment. This introduction sets the stage for a detailed examination of how these approaches preserve development velocity while building in regulatory trust, ultimately reframing compliance from a cost of doing business to a core competitive advantage in the age of regulated AI.</w:t>
      </w:r>
    </w:p>
    <w:p>
      <w:r>
        <w:br w:type="page"/>
      </w:r>
    </w:p>
    <w:p>
      <w:pPr>
        <w:pStyle w:val="Heading2"/>
      </w:pPr>
      <w:r>
        <w:t>Redesigning MLOps Pipelines for AI Act Compliance Without Sacrificing Velocity</w:t>
      </w:r>
    </w:p>
    <w:p>
      <w:r>
        <w:t>The European Union’s AI Act represents a watershed moment for operationalizing trustworthy artificial intelligence, imposing stringent, legally binding requirements for high-risk AI systems. These mandates—centered on data provenance, human oversight, and continuous post-deployment monitoring—create a fundamental tension with the core tenets of modern DevOps and MLOps cultures, which prioritize rapid iteration, continuous deployment, and high velocity. The naïve approach of treating compliance as a manual, post-development gatekeeping exercise threatens to cripple development speed and innovation. However, a growing consensus among analysts reveals a transformative path forward: **compliance must not be bolted onto the MLOps pipeline but must be architected into its very fabric**. The objective is to redesign pipelines so that regulatory adherence becomes an automated, inherent byproduct of the standard development workflow. This reframes compliance from a velocity inhibitor into a core quality attribute and a competitive advantage, synthesizing regulatory trust with engineering agility.</w:t>
      </w:r>
    </w:p>
    <w:p>
      <w:pPr>
        <w:pStyle w:val="Heading3"/>
      </w:pPr>
      <w:r>
        <w:t>### Data Provenance &amp; Lineage: The Automated Backbone of Traceability</w:t>
      </w:r>
    </w:p>
    <w:p>
      <w:r>
        <w:t>The AI Act’s requirements for verifiable data quality, representativeness, and lineage (notably Article 10(3)) are impossible to satisfy with ad-hoc documentation. Analysts uniformly agree that the solution lies in **systematic, automated instrumentation** that generates an immutable audit trail as a native output of the pipeline.</w:t>
      </w:r>
    </w:p>
    <w:p>
      <w:r>
        <w:t>The cornerstone of this redesign is the implementation of a globally unique `RUN_ID` (or `EXPERIMENT_ID`) generated at the initiation of every pipeline execution. This identifier is not merely a log entry but the **primary key for compliance**, programmatically propagated and attached to every artifact: raw data snapshots, feature-engineered datasets, trained model binaries, evaluation metrics, and deployment manifests. This creates a directed acyclic graph (DAG) of artifacts, where each node’s provenance is explicitly and uniquely linked to the run that produced it.</w:t>
      </w:r>
    </w:p>
    <w:p>
      <w:r>
        <w:t>Crucially, this technical lineage must be coupled with a **structured, machine-readable compliance log**. This log automatically maps low-level technical events (e.g., "data validation passed for snapshot `v3.1-abcdef`") to specific regulatory articles (e.g., "Satisfies Article 10(3) – Data Governance"). Infrastructure-as-code principles are extended to the data layer, mandating the integration of data versioning tools (e.g., DVC) and feature stores into the CI/CD orchestration framework (e.g., Kubeflow Pipelines, Apache Airflow). The orchestration layer itself becomes the compliance logger.</w:t>
      </w:r>
    </w:p>
    <w:p>
      <w:r>
        <w:t>**Velocity Preservation:** This is **instrumentation, not inspection**. The `RUN_ID` and compliance log are generated automatically as a byproduct of standard git commits, data/model versioning, and pipeline execution. No additional manual steps are required from data scientists or ML engineers. Tools like Trail-ML or custom middleware can automate the formatting of this technical lineage into regulator-friendly reports, eliminating the final, error-prone manual compilation phase. The act of "shipping the model" automatically produces the evidence package required for Article 10.</w:t>
      </w:r>
    </w:p>
    <w:p>
      <w:pPr>
        <w:pStyle w:val="Heading3"/>
      </w:pPr>
      <w:r>
        <w:t>### Human Oversight: From Final Checkbox to Scalable Architectural Pattern</w:t>
      </w:r>
    </w:p>
    <w:p>
      <w:r>
        <w:t>The AI Act’s requirement for "human oversight" is frequently misinterpreted as a final, manual review of every model output—a practice that is economically and operationally untenable for most high-volume systems. Analysts converge on the view that oversight must be **designed as a first-class, scalable architectural component**, not a procedural afterthought.</w:t>
      </w:r>
    </w:p>
    <w:p>
      <w:r>
        <w:t>The redesign involves two synergistic moves: **embedding explainability at inference time** and **architecting for specific Human-in-the-Loop (HITL) patterns**. Explainability techniques (SHAP, LIME, or model-specific methods) should be integrated into the serving stack, returning explanations alongside predictions as the default interface for human reviewers. This transforms oversight from a black-box guess into an informed, efficient validation.</w:t>
      </w:r>
    </w:p>
    <w:p>
      <w:r>
        <w:t>The HITL patterns are chosen based on risk and volume:</w:t>
      </w:r>
    </w:p>
    <w:p>
      <w:r>
        <w:t>*   **Synchronous HITL:** A human must validate and approve a prediction *before* it triggers an action (e.g., medical diagnosis, loan denial). This is for high-stakes, low-volume decisions.</w:t>
      </w:r>
    </w:p>
    <w:p>
      <w:r>
        <w:t>*   **Asynchronous HITL:** The system operates autonomously, but a statistically significant sample of outputs is routed to a human for audit. The **human override rate** and its correlation with model confidence become critical drift metrics. This pattern maintains high throughput for high-volume systems.</w:t>
      </w:r>
    </w:p>
    <w:p>
      <w:r>
        <w:t>*   **Multi-Tier Oversight:** For complex workflows, strategic plans require human approval, while tactical steps are executed by autonomous agents with bounded autonomy and clear escalation triggers.</w:t>
      </w:r>
    </w:p>
    <w:p>
      <w:r>
        <w:t>**Critically, every human intervention—approval, rejection, correction, or override—must be automatically captured** in the central compliance log (linked via the `RUN_ID`) and fed back into the training dataset for continuous model improvement. This creates a closed learning loop.</w:t>
      </w:r>
    </w:p>
    <w:p>
      <w:r>
        <w:t>**Velocity Preservation:** Oversight becomes a **scalable, data-informed process**. Asynchronous and multi-tier patterns prevent human review from becoming a bottleneck. The infrastructure for explainability is built once and reused across models and deployments. Human effort is strategically focused on high-value validation points and exception handling, rather than the unscalable task of reviewing every output. This pattern actually *increases* effective velocity by preventing costly post-deployment failures and ensuring model behavior aligns with human intent.</w:t>
      </w:r>
    </w:p>
    <w:p>
      <w:pPr>
        <w:pStyle w:val="Heading3"/>
      </w:pPr>
      <w:r>
        <w:t>### Continuous Post-Deployment Monitoring: Automated Guardians of the Live System</w:t>
      </w:r>
    </w:p>
    <w:p>
      <w:r>
        <w:t>Compliance does not end at deployment; the AI Act mandates active monitoring for drift and degradation. Analysts stress that this cannot rely on manual dashboard watching. The redesign requires a **fusion of AIOps and MLOps monitoring into a single, automated guardrails system**.</w:t>
      </w:r>
    </w:p>
    <w:p>
      <w:r>
        <w:t>This involves blending two monitoring domains:</w:t>
      </w:r>
    </w:p>
    <w:p>
      <w:r>
        <w:t>1.  **AIOps/System Stability:** Monitoring infrastructure health (latency, error rates, resource utilization) via tools like Prometheus and Grafana.</w:t>
      </w:r>
    </w:p>
    <w:p>
      <w:r>
        <w:t>2.  **MLOps/Model Health:** Monitoring data drift (changes in input feature distribution), concept drift (changes in the relationship between features and target), and performance decay (accuracy, fairness metrics) via specialized tools like Evidently AI, Arize, or WhyLabs.</w:t>
      </w:r>
    </w:p>
    <w:p>
      <w:r>
        <w:t>These signals are enforced through **policy-as-code**. Instead of static thresholds in a document, compliance rules are codified as executable logic: `IF (data_drift_score &gt; threshold for 3 consecutive periods) AND (accuracy_drop &gt; 5%) THEN trigger_pause_deployment_and_create_incident`. This policy engine integrates with the orchestration layer.</w:t>
      </w:r>
    </w:p>
    <w:p>
      <w:r>
        <w:t>The ultimate goal is a **closed-loop retraining trigger**. When a policy violation is detected, it automatically initiates a new pipeline run (with a new `RUN_ID`) for data collection, validation, retraining, and evaluation. The newly trained model is then presented for human validation (via the designed HITL patterns) before promotion, ensuring the system self-corrects.</w:t>
      </w:r>
    </w:p>
    <w:p>
      <w:r>
        <w:t>**Velocity Preservation:** This is **automated vigilance and remediation**. Continuous, automatic monitoring prevents silent model degradation that would otherwise lead to regulatory breaches and business damage. Human intervention is reserved for the strategic validation of the retrained model, making the process vastly more efficient than reacting to production failures or conducting periodic manual audits. The pipeline actively maintains its own compliance and performance.</w:t>
      </w:r>
    </w:p>
    <w:p>
      <w:pPr>
        <w:pStyle w:val="Heading3"/>
      </w:pPr>
      <w:r>
        <w:t>### Conclusion: The Compliance-Velocity Synthesis</w:t>
      </w:r>
    </w:p>
    <w:p>
      <w:r>
        <w:t>The redesigned MLOps pipeline is a **unified, reproducible, and instrumented workflow** where traceability is automatic, oversight is an architectural pattern, and monitoring is an active, closed-loop process. The `RUN_ID` serves as the golden thread, weaving together data lineage, human interventions, and monitoring events into a single, verifiable audit trail. In this architecture, the act of deploying a model *is* the act of generating its compliance evidence.</w:t>
      </w:r>
    </w:p>
    <w:p>
      <w:r>
        <w:t>This synthesis is not theoretical. Market momentum validates this direction, with the MLOps governance segment projected to reach $1.58 billion in 2024, growing at a 35.5% CAGR. This reflects the industry’s definitive shift from viewing governance as a cost center to embedding it as a foundational element of the DevOps value stream.</w:t>
      </w:r>
    </w:p>
    <w:p>
      <w:r>
        <w:t>**The core takeaway for organizations is a paradigm shift:** Do not ask how to *add* AI Act compliance to your MLOps pipeline. Instead, ask how to **re-architect your MLOps pipeline so that compliance is an unavoidable, automated consequence of its normal operation**. Success will belong to those who build systems where "shipping the model" and "proving compliance" are the same, single, automated action—achieving both unprecedented development velocity and unwavering regulatory trust.</w:t>
      </w:r>
    </w:p>
    <w:p>
      <w:r>
        <w:br w:type="page"/>
      </w:r>
    </w:p>
    <w:p>
      <w:pPr>
        <w:pStyle w:val="Heading1"/>
      </w:pPr>
      <w:r>
        <w:t>Conclusion: Engineering Compliance into the Velocity Engine</w:t>
      </w:r>
    </w:p>
    <w:p>
      <w:r>
        <w:t>This report has demonstrated that the apparent conflict between the AI Act’s rigorous compliance mandates and the imperative for development velocity is not a zero-sum game. The solution lies in a fundamental **re-architecture of the MLOps pipeline**, where regulatory adherence is transformed from a manual, retrospective burden into an **automated, inherent byproduct** of the development workflow. By treating compliance as a core quality attribute—not an add-on—organizations can achieve both regulatory trust and operational speed.</w:t>
      </w:r>
    </w:p>
    <w:p>
      <w:r>
        <w:t>The synthesis is clear across three critical dimensions:</w:t>
      </w:r>
    </w:p>
    <w:p>
      <w:r>
        <w:t>1.  **Automated Provenance** replaces manual documentation with a `RUN_ID`-backed, instrumented workflow, making data lineage and regulatory mapping a free output of standard CI/CD and data versioning.</w:t>
      </w:r>
    </w:p>
    <w:p>
      <w:r>
        <w:t>2.  **Architectural Oversight** embeds explainability and scalable Human-in-the-Loop (HITL) patterns directly into the serving architecture, converting human review from a bottleneck into a strategic, data-informed process.</w:t>
      </w:r>
    </w:p>
    <w:p>
      <w:r>
        <w:t>3.  **Active Guardian Monitoring** blends AIOps and MLOps with policy-as-code, creating automated guardrails and closed-loop retraining that maintain model integrity without manual vigilance.</w:t>
      </w:r>
    </w:p>
    <w:p>
      <w:r>
        <w:t>The most profound insight is that **“shipping the model” and “proving compliance” must become the same single action**. This paradigm is not theoretical; it is validated by the explosive growth of the MLOps governance market, signaling an industry-wide pivot toward embedded governance.</w:t>
      </w:r>
    </w:p>
    <w:p>
      <w:r>
        <w:t>**Future work and next steps** must focus on:</w:t>
      </w:r>
    </w:p>
    <w:p>
      <w:r>
        <w:t>*   **Toolchain Interoperability:** Developing open standards for compliance log formats and `RUN_ID` propagation across heterogeneous MLOps stacks.</w:t>
      </w:r>
    </w:p>
    <w:p>
      <w:r>
        <w:t>*   **HITL Psychology &amp; Efficiency:** Research into optimal asynchronous sampling strategies and multi-tier oversight models to minimize human cognitive load while maximizing oversight efficacy.</w:t>
      </w:r>
    </w:p>
    <w:p>
      <w:r>
        <w:t>*   **Dynamic Regulatory Alignment:** Creating frameworks for automated policy-as-code updates as regulations like the AI Act evolve or are superseded by international standards.</w:t>
      </w:r>
    </w:p>
    <w:p>
      <w:r>
        <w:t>*   **Cross-Functional Team Structures:** Defining new roles (e.g., “Compliance Platform Engineer”) that blend DevOps, ML engineering, and regulatory expertise to build and maintain these integrated systems.</w:t>
      </w:r>
    </w:p>
    <w:p>
      <w:r>
        <w:t>Ultimately, the next frontier for MLOps is **trustworthy automation**. The organizations that thrive under the AI Act will be those that engineer compliance into the very fabric of their velocity engine, turning regulatory challenge into a sustainable competitive advantage. The pipeline of the future is not just fast—it is provably responsible by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