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75692D" w:rsidRDefault="00000000" w14:paraId="3CDF4C66" w14:textId="77777777">
      <w:pPr>
        <w:spacing w:after="120"/>
        <w:jc w:val="center"/>
      </w:pPr>
      <w:r>
        <w:rPr>
          <w:caps/>
          <w:spacing w:val="40"/>
        </w:rPr>
        <w:t>Research Proposal</w:t>
      </w:r>
    </w:p>
    <w:p w:rsidR="0075692D" w:rsidRDefault="00000000" w14:paraId="5D82C689" w14:textId="77777777">
      <w:pPr>
        <w:spacing w:after="120"/>
        <w:jc w:val="center"/>
      </w:pPr>
      <w:r>
        <w:rPr>
          <w:b/>
          <w:bCs/>
          <w:sz w:val="34"/>
          <w:szCs w:val="34"/>
        </w:rPr>
        <w:t>The Natural Rate of Interest in India: A Macro-Finance Yield Curve Approach</w:t>
      </w:r>
    </w:p>
    <w:p w:rsidR="0075692D" w:rsidRDefault="00000000" w14:paraId="7D075BAB" w14:textId="77777777">
      <w:pPr>
        <w:spacing w:after="60"/>
        <w:jc w:val="center"/>
      </w:pPr>
      <w:r>
        <w:rPr>
          <w:i/>
          <w:iCs/>
        </w:rPr>
        <w:t>Adapting and stress-testing the Brand–Goy–Lemke framework for an emerging economy</w:t>
      </w:r>
    </w:p>
    <w:p w:rsidR="0075692D" w:rsidRDefault="00000000" w14:paraId="1E54B086" w14:textId="77777777">
      <w:pPr>
        <w:pBdr>
          <w:bottom w:val="single" w:color="808080" w:sz="6" w:space="8"/>
        </w:pBdr>
        <w:spacing w:after="240"/>
        <w:jc w:val="center"/>
      </w:pPr>
      <w:r>
        <w:rPr>
          <w:sz w:val="22"/>
          <w:szCs w:val="22"/>
        </w:rPr>
        <w:t>Draft, October 2026</w:t>
      </w:r>
    </w:p>
    <w:p>
      <w:pPr>
        <w:pStyle w:val="Heading1"/>
      </w:pPr>
      <w:r>
        <w:t xml:space="preserve">Abstract</w:t>
      </w:r>
    </w:p>
    <w:p>
      <w:pPr>
        <w:spacing w:after="160" w:line="300" w:lineRule="auto"/>
        <w:jc w:val="both"/>
      </w:pPr>
      <w:r>
        <w:t xml:space="preserve">This proposal sets out a joint macro-finance estimate of the natural real rate of interest (r*) for India. Following Brand, Goy and Lemke (hereafter BGL), r* plays two roles in a single model: it is the real rate that closes the output gap, and, together with trend inflation, it anchors the level of the government bond yield curve. We have already estimated a baseline version of the model on Indian data for 2000Q1–2025Q2. It places r* at about 1.1 per cent in mid-2025, but with a 90 per cent band roughly five percentage points wide, so the data pin down the level of r* only loosely. The remaining work asks where the identifying information comes from, which interest rate matters for Indian output, and how much of India’s r* is shaped by global conditions.</w:t>
      </w:r>
    </w:p>
    <w:p>
      <w:pPr>
        <w:pStyle w:val="Heading1"/>
      </w:pPr>
      <w:r>
        <w:t xml:space="preserve">1. Objective</w:t>
      </w:r>
    </w:p>
    <w:p>
      <w:pPr>
        <w:spacing w:after="160" w:line="300" w:lineRule="auto"/>
        <w:jc w:val="both"/>
      </w:pPr>
      <w:r>
        <w:t xml:space="preserve">The natural rate of interest is the real rate at which output grows at potential and inflation is stable once temporary shocks have passed. Central banks use it to judge whether policy is tight or loose, and bond markets use it, at least implicitly, as the anchor for expected short rates over long horizons. Because it cannot be observed, every estimate depends on a model, and macroeconomic and financial approaches have long produced estimates that do not agree. BGL bridge the two by letting a single r* govern both the business cycle and the yield curve.</w:t>
      </w:r>
    </w:p>
    <w:p>
      <w:pPr>
        <w:spacing w:after="160" w:line="300" w:lineRule="auto"/>
        <w:jc w:val="both"/>
      </w:pPr>
      <w:r>
        <w:t xml:space="preserve">India is a useful and demanding place to apply this idea. The Reserve Bank of India has published a series of estimates of the neutral rate (Behera, Pattanaik and Kavediya, 2015; RBI, 2022, 2024), the latest of which places it at about 1.4–1.9 per cent. These estimates come from Laubach–Williams-type models that use output, inflation and a short-term interest rate. To our knowledge, none draws on the full government bond yield curve under no-arbitrage restrictions, and none reports the posterior uncertainty that a Bayesian macro-finance model delivers. Our aim is to bring the bond market into the estimation of India’s r*, and to be candid about how much it helps. The project is organised around four questions:</w:t>
      </w:r>
    </w:p>
    <w:p>
      <w:pPr>
        <w:numPr>
          <w:ilvl w:val="0"/>
          <w:numId w:val="1"/>
        </w:numPr>
        <w:spacing w:after="100" w:line="300" w:lineRule="auto"/>
        <w:jc w:val="both"/>
      </w:pPr>
      <w:r>
        <w:rPr>
          <w:b/>
          <w:bCs/>
        </w:rPr>
        <w:t xml:space="preserve">Information.</w:t>
      </w:r>
      <w:r>
        <w:t xml:space="preserve"> Do the yield curve and survey expectations sharpen inference on India’s r* relative to a macro-only model, once the influence of priors and model restrictions is set aside?</w:t>
      </w:r>
    </w:p>
    <w:p>
      <w:pPr>
        <w:numPr>
          <w:ilvl w:val="0"/>
          <w:numId w:val="1"/>
        </w:numPr>
        <w:spacing w:after="100" w:line="300" w:lineRule="auto"/>
        <w:jc w:val="both"/>
      </w:pPr>
      <w:r>
        <w:rPr>
          <w:b/>
          <w:bCs/>
        </w:rPr>
        <w:t xml:space="preserve">Level and stance.</w:t>
      </w:r>
      <w:r>
        <w:t xml:space="preserve"> What are the level and path of India’s r*, how much of it reflects trend growth, and what does the implied real-rate gap say about the policy stance before and after inflation targeting?</w:t>
      </w:r>
    </w:p>
    <w:p>
      <w:pPr>
        <w:numPr>
          <w:ilvl w:val="0"/>
          <w:numId w:val="1"/>
        </w:numPr>
        <w:spacing w:after="100" w:line="300" w:lineRule="auto"/>
        <w:jc w:val="both"/>
      </w:pPr>
      <w:r>
        <w:rPr>
          <w:b/>
          <w:bCs/>
        </w:rPr>
        <w:t xml:space="preserve">Transmission.</w:t>
      </w:r>
      <w:r>
        <w:t xml:space="preserve"> Which real rate best explains the output gap in a bank-based economy: the policy rate, a government bond yield or a bank lending rate?</w:t>
      </w:r>
    </w:p>
    <w:p>
      <w:pPr>
        <w:numPr>
          <w:ilvl w:val="0"/>
          <w:numId w:val="1"/>
        </w:numPr>
        <w:spacing w:after="100" w:line="300" w:lineRule="auto"/>
        <w:jc w:val="both"/>
      </w:pPr>
      <w:r>
        <w:rPr>
          <w:b/>
          <w:bCs/>
        </w:rPr>
        <w:t xml:space="preserve">Global linkages.</w:t>
      </w:r>
      <w:r>
        <w:t xml:space="preserve"> How much of the movement in India’s r* that is unrelated to growth reflects global natural rates rather than domestic factors?</w:t>
      </w:r>
    </w:p>
    <w:p>
      <w:pPr>
        <w:pStyle w:val="Heading1"/>
      </w:pPr>
      <w:r>
        <w:t xml:space="preserve">2. Data</w:t>
      </w:r>
    </w:p>
    <w:p>
      <w:pPr>
        <w:spacing w:after="160" w:line="300" w:lineRule="auto"/>
        <w:jc w:val="both"/>
      </w:pPr>
      <w:r>
        <w:t xml:space="preserve">The baseline uses quarterly data from 2000Q1 to 2025Q2, a total of 102 quarters. The start of the sample is set by the zero-coupon yield curve, which is available from January 2000. Table 1 summarises the series.</w:t>
      </w:r>
    </w:p>
    <w:p>
      <w:pPr>
        <w:keepNext/>
        <w:spacing w:before="120" w:after="80"/>
      </w:pPr>
      <w:r>
        <w:rPr>
          <w:b/>
          <w:bCs/>
          <w:sz w:val="20"/>
        </w:rPr>
        <w:t xml:space="preserve">Table 1. Data used in the baseline estimation</w:t>
      </w:r>
    </w:p>
    <w:tbl>
      <w:tblPr>
        <w:tblW w:w="902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750"/>
        <w:gridCol w:w="4026"/>
        <w:gridCol w:w="1450"/>
        <w:gridCol w:w="1800"/>
      </w:tblGrid>
      <w:tr>
        <w:trPr>
          <w:tblHeader/>
        </w:trPr>
        <w:tc>
          <w:tcPr>
            <w:tcW w:w="1750" w:type="dxa"/>
            <w:shd w:val="clear" w:color="auto" w:fill="E7E6E6"/>
          </w:tcPr>
          <w:p>
            <w:pPr>
              <w:spacing w:before="40" w:after="40"/>
            </w:pPr>
            <w:r>
              <w:rPr>
                <w:b/>
                <w:sz w:val="18"/>
              </w:rPr>
              <w:t xml:space="preserve">Series</w:t>
            </w:r>
          </w:p>
        </w:tc>
        <w:tc>
          <w:tcPr>
            <w:tcW w:w="4026" w:type="dxa"/>
            <w:shd w:val="clear" w:color="auto" w:fill="E7E6E6"/>
          </w:tcPr>
          <w:p>
            <w:pPr>
              <w:spacing w:before="40" w:after="40"/>
            </w:pPr>
            <w:r>
              <w:rPr>
                <w:b/>
                <w:sz w:val="18"/>
              </w:rPr>
              <w:t xml:space="preserve">Measure</w:t>
            </w:r>
          </w:p>
        </w:tc>
        <w:tc>
          <w:tcPr>
            <w:tcW w:w="1450" w:type="dxa"/>
            <w:shd w:val="clear" w:color="auto" w:fill="E7E6E6"/>
          </w:tcPr>
          <w:p>
            <w:pPr>
              <w:spacing w:before="40" w:after="40"/>
            </w:pPr>
            <w:r>
              <w:rPr>
                <w:b/>
                <w:sz w:val="18"/>
              </w:rPr>
              <w:t xml:space="preserve">Source</w:t>
            </w:r>
          </w:p>
        </w:tc>
        <w:tc>
          <w:tcPr>
            <w:tcW w:w="1800" w:type="dxa"/>
            <w:shd w:val="clear" w:color="auto" w:fill="E7E6E6"/>
          </w:tcPr>
          <w:p>
            <w:pPr>
              <w:spacing w:before="40" w:after="40"/>
            </w:pPr>
            <w:r>
              <w:rPr>
                <w:b/>
                <w:sz w:val="18"/>
              </w:rPr>
              <w:t xml:space="preserve">Coverage</w:t>
            </w:r>
          </w:p>
        </w:tc>
      </w:tr>
      <w:tr>
        <w:tc>
          <w:tcPr>
            <w:tcW w:w="1750" w:type="dxa"/>
          </w:tcPr>
          <w:p>
            <w:pPr>
              <w:spacing w:before="40" w:after="40"/>
            </w:pPr>
            <w:r>
              <w:rPr>
                <w:sz w:val="18"/>
              </w:rPr>
              <w:t xml:space="preserve">Government bond yields</w:t>
            </w:r>
          </w:p>
        </w:tc>
        <w:tc>
          <w:tcPr>
            <w:tcW w:w="4026" w:type="dxa"/>
          </w:tcPr>
          <w:p>
            <w:pPr>
              <w:spacing w:before="40" w:after="40"/>
            </w:pPr>
            <w:r>
              <w:rPr>
                <w:sz w:val="18"/>
              </w:rPr>
              <w:t xml:space="preserve">Zero-coupon yields at 13 maturities from 3 months to 10 years, end of quarter</w:t>
            </w:r>
          </w:p>
        </w:tc>
        <w:tc>
          <w:tcPr>
            <w:tcW w:w="1450" w:type="dxa"/>
          </w:tcPr>
          <w:p>
            <w:pPr>
              <w:spacing w:before="40" w:after="40"/>
            </w:pPr>
            <w:r>
              <w:rPr>
                <w:sz w:val="18"/>
              </w:rPr>
              <w:t xml:space="preserve">FBIL / CCIL</w:t>
            </w:r>
          </w:p>
        </w:tc>
        <w:tc>
          <w:tcPr>
            <w:tcW w:w="1800" w:type="dxa"/>
          </w:tcPr>
          <w:p>
            <w:pPr>
              <w:spacing w:before="40" w:after="40"/>
            </w:pPr>
            <w:r>
              <w:rPr>
                <w:sz w:val="18"/>
              </w:rPr>
              <w:t xml:space="preserve">2000Q1–2025Q2</w:t>
            </w:r>
          </w:p>
        </w:tc>
      </w:tr>
      <w:tr>
        <w:tc>
          <w:tcPr>
            <w:tcW w:w="1750" w:type="dxa"/>
          </w:tcPr>
          <w:p>
            <w:pPr>
              <w:spacing w:before="40" w:after="40"/>
            </w:pPr>
            <w:r>
              <w:rPr>
                <w:sz w:val="18"/>
              </w:rPr>
              <w:t xml:space="preserve">Real GDP</w:t>
            </w:r>
          </w:p>
        </w:tc>
        <w:tc>
          <w:tcPr>
            <w:tcW w:w="4026" w:type="dxa"/>
          </w:tcPr>
          <w:p>
            <w:pPr>
              <w:spacing w:before="40" w:after="40"/>
            </w:pPr>
            <w:r>
              <w:rPr>
                <w:sz w:val="18"/>
              </w:rPr>
              <w:t xml:space="preserve">Seasonally adjusted, in logs; 2011–12 base series spliced to earlier data until the new back series is released</w:t>
            </w:r>
          </w:p>
        </w:tc>
        <w:tc>
          <w:tcPr>
            <w:tcW w:w="1450" w:type="dxa"/>
          </w:tcPr>
          <w:p>
            <w:pPr>
              <w:spacing w:before="40" w:after="40"/>
            </w:pPr>
            <w:r>
              <w:rPr>
                <w:sz w:val="18"/>
              </w:rPr>
              <w:t xml:space="preserve">MoSPI</w:t>
            </w:r>
          </w:p>
        </w:tc>
        <w:tc>
          <w:tcPr>
            <w:tcW w:w="1800" w:type="dxa"/>
          </w:tcPr>
          <w:p>
            <w:pPr>
              <w:spacing w:before="40" w:after="40"/>
            </w:pPr>
            <w:r>
              <w:rPr>
                <w:sz w:val="18"/>
              </w:rPr>
              <w:t xml:space="preserve">2000Q1–2025Q2</w:t>
            </w:r>
          </w:p>
        </w:tc>
      </w:tr>
      <w:tr>
        <w:tc>
          <w:tcPr>
            <w:tcW w:w="1750" w:type="dxa"/>
          </w:tcPr>
          <w:p>
            <w:pPr>
              <w:spacing w:before="40" w:after="40"/>
            </w:pPr>
            <w:r>
              <w:rPr>
                <w:sz w:val="18"/>
              </w:rPr>
              <w:t xml:space="preserve">Inflation</w:t>
            </w:r>
          </w:p>
        </w:tc>
        <w:tc>
          <w:tcPr>
            <w:tcW w:w="4026" w:type="dxa"/>
          </w:tcPr>
          <w:p>
            <w:pPr>
              <w:spacing w:before="40" w:after="40"/>
            </w:pPr>
            <w:r>
              <w:rPr>
                <w:sz w:val="18"/>
              </w:rPr>
              <w:t xml:space="preserve">Year-on-year CPI: CPI for industrial workers up to December 2010, CPI-Combined thereafter</w:t>
            </w:r>
          </w:p>
        </w:tc>
        <w:tc>
          <w:tcPr>
            <w:tcW w:w="1450" w:type="dxa"/>
          </w:tcPr>
          <w:p>
            <w:pPr>
              <w:spacing w:before="40" w:after="40"/>
            </w:pPr>
            <w:r>
              <w:rPr>
                <w:sz w:val="18"/>
              </w:rPr>
              <w:t xml:space="preserve">Labour Bureau; MoSPI</w:t>
            </w:r>
          </w:p>
        </w:tc>
        <w:tc>
          <w:tcPr>
            <w:tcW w:w="1800" w:type="dxa"/>
          </w:tcPr>
          <w:p>
            <w:pPr>
              <w:spacing w:before="40" w:after="40"/>
            </w:pPr>
            <w:r>
              <w:rPr>
                <w:sz w:val="18"/>
              </w:rPr>
              <w:t xml:space="preserve">2002Q1–2025Q2</w:t>
            </w:r>
          </w:p>
        </w:tc>
      </w:tr>
      <w:tr>
        <w:tc>
          <w:tcPr>
            <w:tcW w:w="1750" w:type="dxa"/>
          </w:tcPr>
          <w:p>
            <w:pPr>
              <w:spacing w:before="40" w:after="40"/>
            </w:pPr>
            <w:r>
              <w:rPr>
                <w:sz w:val="18"/>
              </w:rPr>
              <w:t xml:space="preserve">Inflation expectations</w:t>
            </w:r>
          </w:p>
        </w:tc>
        <w:tc>
          <w:tcPr>
            <w:tcW w:w="4026" w:type="dxa"/>
          </w:tcPr>
          <w:p>
            <w:pPr>
              <w:spacing w:before="40" w:after="40"/>
            </w:pPr>
            <w:r>
              <w:rPr>
                <w:sz w:val="18"/>
              </w:rPr>
              <w:t xml:space="preserve">Household survey (IESH), one-year-ahead median, averaged within each quarter</w:t>
            </w:r>
          </w:p>
        </w:tc>
        <w:tc>
          <w:tcPr>
            <w:tcW w:w="1450" w:type="dxa"/>
          </w:tcPr>
          <w:p>
            <w:pPr>
              <w:spacing w:before="40" w:after="40"/>
            </w:pPr>
            <w:r>
              <w:rPr>
                <w:sz w:val="18"/>
              </w:rPr>
              <w:t xml:space="preserve">RBI</w:t>
            </w:r>
          </w:p>
        </w:tc>
        <w:tc>
          <w:tcPr>
            <w:tcW w:w="1800" w:type="dxa"/>
          </w:tcPr>
          <w:p>
            <w:pPr>
              <w:spacing w:before="40" w:after="40"/>
            </w:pPr>
            <w:r>
              <w:rPr>
                <w:sz w:val="18"/>
              </w:rPr>
              <w:t xml:space="preserve">2009Q4–2025Q2</w:t>
            </w:r>
          </w:p>
        </w:tc>
      </w:tr>
    </w:tbl>
    <w:p>
      <w:pPr>
        <w:spacing w:before="60" w:after="200"/>
        <w:jc w:val="both"/>
      </w:pPr>
      <w:r>
        <w:rPr>
          <w:i/>
          <w:iCs/>
          <w:sz w:val="18"/>
        </w:rPr>
        <w:t xml:space="preserve">Note: series that start later than 2000Q1 enter the model as missing observations, which the Kalman filter handles directly, so the sample does not have to be cut to the shortest series.</w:t>
      </w:r>
    </w:p>
    <w:p>
      <w:pPr>
        <w:pStyle w:val="Heading1"/>
      </w:pPr>
      <w:r>
        <w:t xml:space="preserve">3. Model Estimated So Far</w:t>
      </w:r>
    </w:p>
    <w:p>
      <w:pPr>
        <w:spacing w:after="160" w:line="300" w:lineRule="auto"/>
        <w:jc w:val="both"/>
      </w:pPr>
      <w:r>
        <w:t xml:space="preserve">The baseline follows the BGL architecture closely. A semi-structural macro block in the spirit of Laubach and Williams (2003) links the output gap to the lagged gap between the real rate and r*, and links inflation to the output gap through a backward-looking Phillips curve. The natural rate is the sum of a trend-growth component and a residual non-growth component, r*ₜ = 4c·gₜ + zₜ, both of which evolve slowly over time. A finance block, the arbitrage-free Nelson–Siegel model of Christensen, Diebold and Rudebusch (2011), describes the yield curve. Its level factor moves with the equilibrium nominal rate, r* plus trend inflation, and this is what ties the bond market to r*. The household survey is matched to the model’s own one-year-ahead inflation forecast, allowing for a systematic bias.</w:t>
      </w:r>
    </w:p>
    <w:p>
      <w:pPr>
        <w:spacing w:after="160" w:line="300" w:lineRule="auto"/>
        <w:jc w:val="both"/>
      </w:pPr>
      <w:r>
        <w:t xml:space="preserve">Two departures from BGL matter for reading the results. First, we estimate the loading c of trend growth on r* instead of imposing the Laubach–Williams value. Second, we allow a constant wedge between the observed real rate and r*, reflecting the view that financial repression kept Indian real rates below their natural level for much of the sample. The model is estimated by Bayesian methods, using Gibbs sampling with a simulation smoother (Durbin and Koopman, 2002) as in BGL, across four independent chains. The code is written in Python and will be released with the paper.</w:t>
      </w:r>
    </w:p>
    <w:p>
      <w:pPr>
        <w:pStyle w:val="Heading1"/>
      </w:pPr>
      <w:r>
        <w:t xml:space="preserve">4. Key Results to Date</w:t>
      </w:r>
    </w:p>
    <w:p>
      <w:pPr>
        <w:spacing w:after="160" w:line="300" w:lineRule="auto"/>
        <w:jc w:val="both"/>
      </w:pPr>
      <w:r>
        <w:t xml:space="preserve">Five findings stand out from the baseline.</w:t>
      </w:r>
    </w:p>
    <w:p>
      <w:pPr>
        <w:numPr>
          <w:ilvl w:val="0"/>
          <w:numId w:val="1"/>
        </w:numPr>
        <w:spacing w:after="100" w:line="300" w:lineRule="auto"/>
        <w:jc w:val="both"/>
      </w:pPr>
      <w:r>
        <w:rPr>
          <w:b/>
          <w:bCs/>
        </w:rPr>
        <w:t xml:space="preserve">India’s r* is positive but imprecisely estimated.</w:t>
      </w:r>
      <w:r>
        <w:t xml:space="preserve"> The posterior median for 2025Q2 is 1.1 per cent, with a 90 per cent band from −1.4 to 3.9 per cent. The RBI’s latest range of 1.4–1.9 per cent lies well inside this band.</w:t>
      </w:r>
    </w:p>
    <w:p>
      <w:pPr>
        <w:numPr>
          <w:ilvl w:val="0"/>
          <w:numId w:val="1"/>
        </w:numPr>
        <w:spacing w:after="100" w:line="300" w:lineRule="auto"/>
        <w:jc w:val="both"/>
      </w:pPr>
      <w:r>
        <w:rPr>
          <w:b/>
          <w:bCs/>
        </w:rPr>
        <w:t xml:space="preserve">The bond market does not, on its own, pin r* down.</w:t>
      </w:r>
      <w:r>
        <w:t xml:space="preserve"> The 90 per cent band averages 5.0 percentage points across the sample, compared with under 3 in BGL’s US estimates. A key reason is that output responds only weakly to the real-rate gap (an estimated interest sensitivity of −0.04), a setting in which r* is known to be hard to filter (Fiorentini et al., 2018).</w:t>
      </w:r>
    </w:p>
    <w:p>
      <w:pPr>
        <w:numPr>
          <w:ilvl w:val="0"/>
          <w:numId w:val="1"/>
        </w:numPr>
        <w:spacing w:after="100" w:line="300" w:lineRule="auto"/>
        <w:jc w:val="both"/>
      </w:pPr>
      <w:r>
        <w:rPr>
          <w:b/>
          <w:bCs/>
        </w:rPr>
        <w:t xml:space="preserve">Trend growth passes through to r* less than one for one.</w:t>
      </w:r>
      <w:r>
        <w:t xml:space="preserve"> A one-point rise in trend growth raises r* by about 0.4 points (90 per cent band 0.2 to 0.6). This is well below the one-for-one link imposed by Laubach–Williams and BGL, although the data cannot firmly reject it.</w:t>
      </w:r>
    </w:p>
    <w:p>
      <w:pPr>
        <w:numPr>
          <w:ilvl w:val="0"/>
          <w:numId w:val="1"/>
        </w:numPr>
        <w:spacing w:after="100" w:line="300" w:lineRule="auto"/>
        <w:jc w:val="both"/>
      </w:pPr>
      <w:r>
        <w:rPr>
          <w:b/>
          <w:bCs/>
        </w:rPr>
        <w:t xml:space="preserve">The level of r* rests partly on an assumption the data cannot test.</w:t>
      </w:r>
      <w:r>
        <w:t xml:space="preserve"> Without the repression wedge, average r* equals the average real short rate, which is close to zero over 2000–2025. The wedge raises the level, but it is not identified, so we report r* for a range of fixed values rather than as a single estimate.</w:t>
      </w:r>
    </w:p>
    <w:p>
      <w:pPr>
        <w:numPr>
          <w:ilvl w:val="0"/>
          <w:numId w:val="1"/>
        </w:numPr>
        <w:spacing w:after="100" w:line="300" w:lineRule="auto"/>
        <w:jc w:val="both"/>
      </w:pPr>
      <w:r>
        <w:rPr>
          <w:b/>
          <w:bCs/>
        </w:rPr>
        <w:t xml:space="preserve">Households expect inflation well above what materialises.</w:t>
      </w:r>
      <w:r>
        <w:t xml:space="preserve"> The estimated bias in the survey is about 4.8 percentage points. The model estimates this bias explicitly, so the survey informs the movements in expected inflation rather than its level.</w:t>
      </w:r>
    </w:p>
    <w:p>
      <w:pPr>
        <w:spacing w:after="160" w:line="300" w:lineRule="auto"/>
        <w:jc w:val="both"/>
      </w:pPr>
      <w:r>
        <w:t xml:space="preserve">The sampler converges well (all Gelman–Rubin statistics are at or below 1.003), so the wide bands reflect the limits of the data rather than a computational problem. This shapes the rest of the project: weak identification is not merely a caveat but one of the paper’s main subjects.</w:t>
      </w:r>
    </w:p>
    <w:p>
      <w:pPr>
        <w:pStyle w:val="Heading1"/>
      </w:pPr>
      <w:r>
        <w:t xml:space="preserve">5. Work To Be Done</w:t>
      </w:r>
    </w:p>
    <w:p>
      <w:pPr>
        <w:numPr>
          <w:ilvl w:val="0"/>
          <w:numId w:val="1"/>
        </w:numPr>
        <w:spacing w:after="100" w:line="300" w:lineRule="auto"/>
        <w:jc w:val="both"/>
      </w:pPr>
      <w:r>
        <w:rPr>
          <w:b/>
          <w:bCs/>
        </w:rPr>
        <w:t xml:space="preserve">Identification.</w:t>
      </w:r>
      <w:r>
        <w:t xml:space="preserve"> A Monte Carlo study calibrated to India’s sample length and noise; a macro-only Laubach–Williams benchmark estimated on the same data; and prior-sensitivity and data-subset exercises that show what the yield curve and surveys add.</w:t>
      </w:r>
    </w:p>
    <w:p>
      <w:pPr>
        <w:numPr>
          <w:ilvl w:val="0"/>
          <w:numId w:val="1"/>
        </w:numPr>
        <w:spacing w:after="100" w:line="300" w:lineRule="auto"/>
        <w:jc w:val="both"/>
      </w:pPr>
      <w:r>
        <w:rPr>
          <w:b/>
          <w:bCs/>
        </w:rPr>
        <w:t xml:space="preserve">Data.</w:t>
      </w:r>
      <w:r>
        <w:t xml:space="preserve"> Add the RBI Survey of Professional Forecasters for longer-horizon inflation and interest-rate expectations; re-estimate on the new GDP back series once it is released (expected December 2026); and allow for the 2009 change in the yield-curve methodology.</w:t>
      </w:r>
    </w:p>
    <w:p>
      <w:pPr>
        <w:numPr>
          <w:ilvl w:val="0"/>
          <w:numId w:val="1"/>
        </w:numPr>
        <w:spacing w:after="100" w:line="300" w:lineRule="auto"/>
        <w:jc w:val="both"/>
      </w:pPr>
      <w:r>
        <w:rPr>
          <w:b/>
          <w:bCs/>
        </w:rPr>
        <w:t xml:space="preserve">Model.</w:t>
      </w:r>
      <w:r>
        <w:t xml:space="preserve"> A food and fuel term in the Phillips curve; a break in trend inflation at the adoption of inflation targeting in 2016; a wedge between the model short rate and the repo rate; and explicit treatment of the pandemic quarters.</w:t>
      </w:r>
    </w:p>
    <w:p>
      <w:pPr>
        <w:numPr>
          <w:ilvl w:val="0"/>
          <w:numId w:val="1"/>
        </w:numPr>
        <w:spacing w:after="100" w:line="300" w:lineRule="auto"/>
        <w:jc w:val="both"/>
      </w:pPr>
      <w:r>
        <w:rPr>
          <w:b/>
          <w:bCs/>
        </w:rPr>
        <w:t xml:space="preserve">Transmission and global linkages.</w:t>
      </w:r>
      <w:r>
        <w:t xml:space="preserve"> Compare real-rate gaps at the policy, 1-, 5- and 10-year horizons and for bank lending rates; estimate the pass-through of global natural rates into the non-growth component; and add a small open-economy block covering the exchange rate, oil prices and portfolio flows.</w:t>
      </w:r>
    </w:p>
    <w:p>
      <w:pPr>
        <w:numPr>
          <w:ilvl w:val="0"/>
          <w:numId w:val="1"/>
        </w:numPr>
        <w:spacing w:after="100" w:line="300" w:lineRule="auto"/>
        <w:jc w:val="both"/>
      </w:pPr>
      <w:r>
        <w:rPr>
          <w:b/>
          <w:bCs/>
        </w:rPr>
        <w:t xml:space="preserve">Robustness and write-up.</w:t>
      </w:r>
      <w:r>
        <w:t xml:space="preserve"> Pseudo-real-time estimates, an analysis of term premia, the manuscript and a replication package.</w:t>
      </w:r>
    </w:p>
    <w:p>
      <w:pPr>
        <w:spacing w:after="160" w:line="300" w:lineRule="auto"/>
        <w:jc w:val="both"/>
      </w:pPr>
      <w:r>
        <w:t xml:space="preserve">We aim to finish the identification work in November 2026, the extensions in December, and robustness and drafting in January 2027, with a working paper and journal submission at the end of January. If the identification work shows that the estimates are driven mainly by priors, the paper will be reframed around what can and cannot be learned about r* from a short emerging-market sample.</w:t>
      </w:r>
    </w:p>
    <w:p>
      <w:pPr>
        <w:pStyle w:val="Heading1"/>
      </w:pPr>
      <w:r>
        <w:t xml:space="preserve">References</w:t>
      </w:r>
    </w:p>
    <w:p w:rsidR="0075692D" w:rsidRDefault="00000000" w14:paraId="3A213BE2" w14:textId="77777777">
      <w:pPr>
        <w:spacing w:after="100" w:line="276" w:lineRule="auto"/>
        <w:ind w:left="540" w:hanging="540"/>
      </w:pPr>
      <w:r>
        <w:t xml:space="preserve">Behera, H. K., Pattanaik, S. and Kavediya, R. (2015). Natural interest rate: Assessing the stance of India's monetary policy under uncertainty. </w:t>
      </w:r>
      <w:r>
        <w:rPr>
          <w:i/>
          <w:iCs/>
        </w:rPr>
        <w:t>RBI Working Paper Series</w:t>
      </w:r>
      <w:r>
        <w:t>, No. 5.</w:t>
      </w:r>
    </w:p>
    <w:p w:rsidR="0075692D" w:rsidRDefault="00000000" w14:paraId="28032CDD" w14:textId="77777777">
      <w:pPr>
        <w:spacing w:after="100" w:line="276" w:lineRule="auto"/>
        <w:ind w:left="540" w:hanging="540"/>
      </w:pPr>
      <w:r>
        <w:t xml:space="preserve">Brand, C., Goy, G. and Lemke, W. </w:t>
      </w:r>
      <w:r>
        <w:rPr>
          <w:i/>
          <w:iCs/>
        </w:rPr>
        <w:t>Estimating the natural rate of interest in a macro-finance yield curve model</w:t>
      </w:r>
      <w:r>
        <w:t>. ECB Working Paper Series No 3160 (version consulted for this proposal).</w:t>
      </w:r>
    </w:p>
    <w:p w:rsidR="0075692D" w:rsidRDefault="00000000" w14:paraId="5E97BA75" w14:textId="77777777">
      <w:pPr>
        <w:spacing w:after="100" w:line="276" w:lineRule="auto"/>
        <w:ind w:left="540" w:hanging="540"/>
      </w:pPr>
      <w:r>
        <w:t xml:space="preserve">Christensen, J. H. E., Diebold, F. X. and Rudebusch, G. D. (2011). The affine arbitrage-free class of Nelson–Siegel term structure models. </w:t>
      </w:r>
      <w:r>
        <w:rPr>
          <w:i/>
          <w:iCs/>
        </w:rPr>
        <w:t>Journal of Econometrics</w:t>
      </w:r>
      <w:r>
        <w:t>, 164, 4–20.</w:t>
      </w:r>
    </w:p>
    <w:p w:rsidR="0075692D" w:rsidRDefault="00000000" w14:paraId="393CA3E1" w14:textId="77777777">
      <w:pPr>
        <w:spacing w:after="100" w:line="276" w:lineRule="auto"/>
        <w:ind w:left="540" w:hanging="540"/>
      </w:pPr>
      <w:r>
        <w:t xml:space="preserve">Durbin, J. and Koopman, S. J. (2002). A simple and efficient simulation smoother for state space time series analysis. </w:t>
      </w:r>
      <w:r>
        <w:rPr>
          <w:i/>
          <w:iCs/>
        </w:rPr>
        <w:t>Biometrika</w:t>
      </w:r>
      <w:r>
        <w:t>, 89(3), 603–616.</w:t>
      </w:r>
    </w:p>
    <w:p w:rsidR="0075692D" w:rsidRDefault="00000000" w14:paraId="6667B1B9" w14:textId="77777777">
      <w:pPr>
        <w:spacing w:after="100" w:line="276" w:lineRule="auto"/>
        <w:ind w:left="540" w:hanging="540"/>
      </w:pPr>
      <w:r>
        <w:t>Fiorentini, G., Galesi, A., Pérez-Quirós, G. and Sentana, E. (2018). The rise and fall of the natural interest rate. CEPR Discussion Paper 13042.</w:t>
      </w:r>
    </w:p>
    <w:p w:rsidR="0075692D" w:rsidRDefault="00000000" w14:paraId="04EE246E" w14:textId="77777777">
      <w:pPr>
        <w:spacing w:after="100" w:line="276" w:lineRule="auto"/>
        <w:ind w:left="540" w:hanging="540"/>
      </w:pPr>
      <w:r>
        <w:t xml:space="preserve">Laubach, T. and Williams, J. C. (2003). Measuring the natural rate of interest. </w:t>
      </w:r>
      <w:r>
        <w:rPr>
          <w:i/>
          <w:iCs/>
        </w:rPr>
        <w:t>Review of Economics and Statistics</w:t>
      </w:r>
      <w:r>
        <w:t>, 85(4), 1063–1070.</w:t>
      </w:r>
    </w:p>
    <w:p w:rsidR="0075692D" w:rsidRDefault="00000000" w14:paraId="53A203FB" w14:textId="77777777">
      <w:pPr>
        <w:spacing w:after="100" w:line="276" w:lineRule="auto"/>
        <w:ind w:left="540" w:hanging="540"/>
      </w:pPr>
      <w:r>
        <w:t xml:space="preserve">Reserve Bank of India (2022). Revisiting India's natural rate of interest. </w:t>
      </w:r>
      <w:r>
        <w:rPr>
          <w:i/>
          <w:iCs/>
        </w:rPr>
        <w:t>RBI Bulletin</w:t>
      </w:r>
      <w:r>
        <w:t>.</w:t>
      </w:r>
    </w:p>
    <w:p w:rsidR="0075692D" w:rsidRDefault="00000000" w14:paraId="097F9F8F" w14:textId="77777777">
      <w:pPr>
        <w:spacing w:after="100" w:line="276" w:lineRule="auto"/>
        <w:ind w:left="540" w:hanging="540"/>
      </w:pPr>
      <w:r>
        <w:t xml:space="preserve">Reserve Bank of India (2024). Updating estimates of the natural rate of interest for India with post-pandemic evidence. </w:t>
      </w:r>
      <w:r>
        <w:rPr>
          <w:i/>
          <w:iCs/>
        </w:rPr>
        <w:t>RBI Bulletin</w:t>
      </w:r>
      <w:r>
        <w:t>, July.</w:t>
      </w:r>
    </w:p>
    <w:sectPr w:rsidR="0075692D">
      <w:footerReference w:type="default" r:id="rId11"/>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A91F1E" w:rsidRDefault="00A91F1E" w14:paraId="4D5FB54E" w14:textId="77777777">
      <w:r>
        <w:separator/>
      </w:r>
    </w:p>
  </w:endnote>
  <w:endnote w:type="continuationSeparator" w:id="0">
    <w:p w:rsidR="00A91F1E" w:rsidRDefault="00A91F1E" w14:paraId="0C5C623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5692D" w:rsidRDefault="00000000" w14:paraId="490714B7" w14:textId="77777777">
    <w:pPr>
      <w:jc w:val="center"/>
    </w:pPr>
    <w:r>
      <w:rPr>
        <w:sz w:val="20"/>
        <w:szCs w:val="20"/>
      </w:rPr>
      <w:fldChar w:fldCharType="begin"/>
    </w:r>
    <w:r>
      <w:rPr>
        <w:sz w:val="20"/>
        <w:szCs w:val="20"/>
      </w:rPr>
      <w:instrText>PAGE</w:instrText>
    </w:r>
    <w:r>
      <w:rPr>
        <w:sz w:val="20"/>
        <w:szCs w:val="20"/>
      </w:rPr>
      <w:fldChar w:fldCharType="separate"/>
    </w:r>
    <w:r w:rsidR="00C47CC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A91F1E" w:rsidRDefault="00A91F1E" w14:paraId="6A1864D1" w14:textId="77777777">
      <w:r>
        <w:separator/>
      </w:r>
    </w:p>
  </w:footnote>
  <w:footnote w:type="continuationSeparator" w:id="0">
    <w:p w:rsidR="00A91F1E" w:rsidRDefault="00A91F1E" w14:paraId="76D3EE5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61A6D"/>
    <w:multiLevelType w:val="hybridMultilevel"/>
    <w:tmpl w:val="F4DA0F4C"/>
    <w:lvl w:ilvl="0" w:tplc="49B06D56">
      <w:start w:val="1"/>
      <w:numFmt w:val="bullet"/>
      <w:lvlText w:val="●"/>
      <w:lvlJc w:val="left"/>
      <w:pPr>
        <w:ind w:left="720" w:hanging="360"/>
      </w:pPr>
    </w:lvl>
    <w:lvl w:ilvl="1" w:tplc="F4EEFFB4">
      <w:start w:val="1"/>
      <w:numFmt w:val="bullet"/>
      <w:lvlText w:val="○"/>
      <w:lvlJc w:val="left"/>
      <w:pPr>
        <w:ind w:left="1440" w:hanging="360"/>
      </w:pPr>
    </w:lvl>
    <w:lvl w:ilvl="2" w:tplc="408CB400">
      <w:start w:val="1"/>
      <w:numFmt w:val="bullet"/>
      <w:lvlText w:val="■"/>
      <w:lvlJc w:val="left"/>
      <w:pPr>
        <w:ind w:left="2160" w:hanging="360"/>
      </w:pPr>
    </w:lvl>
    <w:lvl w:ilvl="3" w:tplc="E780CACA">
      <w:start w:val="1"/>
      <w:numFmt w:val="bullet"/>
      <w:lvlText w:val="●"/>
      <w:lvlJc w:val="left"/>
      <w:pPr>
        <w:ind w:left="2880" w:hanging="360"/>
      </w:pPr>
    </w:lvl>
    <w:lvl w:ilvl="4" w:tplc="52F02F0C">
      <w:start w:val="1"/>
      <w:numFmt w:val="bullet"/>
      <w:lvlText w:val="○"/>
      <w:lvlJc w:val="left"/>
      <w:pPr>
        <w:ind w:left="3600" w:hanging="360"/>
      </w:pPr>
    </w:lvl>
    <w:lvl w:ilvl="5" w:tplc="3B6E5728">
      <w:start w:val="1"/>
      <w:numFmt w:val="bullet"/>
      <w:lvlText w:val="■"/>
      <w:lvlJc w:val="left"/>
      <w:pPr>
        <w:ind w:left="4320" w:hanging="360"/>
      </w:pPr>
    </w:lvl>
    <w:lvl w:ilvl="6" w:tplc="FA7E3538">
      <w:start w:val="1"/>
      <w:numFmt w:val="bullet"/>
      <w:lvlText w:val="●"/>
      <w:lvlJc w:val="left"/>
      <w:pPr>
        <w:ind w:left="5040" w:hanging="360"/>
      </w:pPr>
    </w:lvl>
    <w:lvl w:ilvl="7" w:tplc="F6E08EB8">
      <w:start w:val="1"/>
      <w:numFmt w:val="bullet"/>
      <w:lvlText w:val="●"/>
      <w:lvlJc w:val="left"/>
      <w:pPr>
        <w:ind w:left="5760" w:hanging="360"/>
      </w:pPr>
    </w:lvl>
    <w:lvl w:ilvl="8" w:tplc="C0D07A30">
      <w:start w:val="1"/>
      <w:numFmt w:val="bullet"/>
      <w:lvlText w:val="●"/>
      <w:lvlJc w:val="left"/>
      <w:pPr>
        <w:ind w:left="6480" w:hanging="360"/>
      </w:pPr>
    </w:lvl>
  </w:abstractNum>
  <w:num w:numId="1" w16cid:durableId="1169103532">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sumanjayduttafin@outlook.com">
    <w15:presenceInfo w15:providerId="Windows Live" w15:userId="1962f9e135a0faf9"/>
  </w15:person>
  <w15:person w15:author="Abhiruchi Rathi">
    <w15:presenceInfo w15:providerId="AD" w15:userId="S::arathi@rbi.org.in::5607b618-c766-46cf-8151-ae65fecada39"/>
  </w15:person>
  <w15:person w15:author="Amit Pawar">
    <w15:presenceInfo w15:providerId="AD" w15:userId="S::amitp@rbi.org.in::b11bcce6-be02-4c76-96cb-0d80d886aa15"/>
  </w15:person>
  <w15:person w15:author="Amit Pawar">
    <w15:presenceInfo w15:providerId="AD" w15:userId="S::amitp@rbi.org.in::b11bcce6-be02-4c76-96cb-0d80d886aa15"/>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2"/>
  <w:displayBackgroundShape/>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92D"/>
    <w:rsid w:val="00000000"/>
    <w:rsid w:val="00025130"/>
    <w:rsid w:val="0028045C"/>
    <w:rsid w:val="00415D4E"/>
    <w:rsid w:val="005848FA"/>
    <w:rsid w:val="005B6AF9"/>
    <w:rsid w:val="00642D1A"/>
    <w:rsid w:val="00675361"/>
    <w:rsid w:val="0075692D"/>
    <w:rsid w:val="0079675A"/>
    <w:rsid w:val="007E458F"/>
    <w:rsid w:val="008037CF"/>
    <w:rsid w:val="00825412"/>
    <w:rsid w:val="008566BF"/>
    <w:rsid w:val="00872677"/>
    <w:rsid w:val="009654D6"/>
    <w:rsid w:val="00973CD3"/>
    <w:rsid w:val="00A91F1E"/>
    <w:rsid w:val="00AD5E92"/>
    <w:rsid w:val="00B713E3"/>
    <w:rsid w:val="00C47CC2"/>
    <w:rsid w:val="00E215FC"/>
    <w:rsid w:val="00E746F5"/>
    <w:rsid w:val="107029FC"/>
    <w:rsid w:val="3830E1BB"/>
    <w:rsid w:val="3D0970B4"/>
    <w:rsid w:val="5EE62EB8"/>
    <w:rsid w:val="6B689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892C9"/>
  <w15:docId w15:val="{FC534835-6A1C-4602-A1CC-5E68A9F175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40"/>
      <w:outlineLvl w:val="0"/>
    </w:pPr>
    <w:rPr>
      <w:b/>
      <w:bCs/>
      <w:sz w:val="28"/>
      <w:szCs w:val="28"/>
    </w:rPr>
  </w:style>
  <w:style w:type="paragraph" w:styleId="Heading2">
    <w:name w:val="heading 2"/>
    <w:uiPriority w:val="9"/>
    <w:unhideWhenUsed/>
    <w:qFormat/>
    <w:pPr>
      <w:spacing w:before="220" w:after="10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Comment Reference"/>
    <w:basedOn w:val="DefaultParagraphFont"/>
    <w:uiPriority w:val="99"/>
    <w:semiHidden/>
    <w:unhideWhenUsed/>
    <w:rsid w:val="00C47CC2"/>
    <w:rPr>
      <w:sz w:val="16"/>
      <w:szCs w:val="16"/>
    </w:rPr>
  </w:style>
  <w:style w:type="paragraph" w:styleId="CommentText">
    <w:name w:val="Comment Text"/>
    <w:basedOn w:val="Normal"/>
    <w:link w:val="CommentTextChar"/>
    <w:uiPriority w:val="99"/>
    <w:unhideWhenUsed/>
    <w:rsid w:val="00C47CC2"/>
    <w:rPr>
      <w:sz w:val="20"/>
      <w:szCs w:val="20"/>
    </w:rPr>
  </w:style>
  <w:style w:type="character" w:styleId="CommentTextChar" w:customStyle="1">
    <w:name w:val="Comment Text Char"/>
    <w:basedOn w:val="DefaultParagraphFont"/>
    <w:link w:val="CommentText"/>
    <w:uiPriority w:val="99"/>
    <w:rsid w:val="00C47CC2"/>
    <w:rPr>
      <w:sz w:val="20"/>
      <w:szCs w:val="20"/>
    </w:rPr>
  </w:style>
  <w:style w:type="paragraph" w:styleId="CommentSubject">
    <w:name w:val="Comment Subject"/>
    <w:basedOn w:val="CommentText"/>
    <w:next w:val="CommentText"/>
    <w:link w:val="CommentSubjectChar"/>
    <w:uiPriority w:val="99"/>
    <w:semiHidden/>
    <w:unhideWhenUsed/>
    <w:rsid w:val="00C47CC2"/>
    <w:rPr>
      <w:b/>
      <w:bCs/>
    </w:rPr>
  </w:style>
  <w:style w:type="character" w:styleId="CommentSubjectChar" w:customStyle="1">
    <w:name w:val="Comment Subject Char"/>
    <w:basedOn w:val="CommentTextChar"/>
    <w:link w:val="CommentSubject"/>
    <w:uiPriority w:val="99"/>
    <w:semiHidden/>
    <w:rsid w:val="00C47CC2"/>
    <w:rPr>
      <w:b/>
      <w:bCs/>
      <w:sz w:val="20"/>
      <w:szCs w:val="20"/>
    </w:rPr>
  </w:style>
  <w:style w:type="paragraph" w:styleId="BodyText">
    <w:name w:val="Body Text"/>
    <w:basedOn w:val="Normal"/>
    <w:link w:val="BodyTextChar"/>
    <w:uiPriority w:val="99"/>
    <w:semiHidden/>
    <w:unhideWhenUsed/>
    <w:rsid w:val="0028045C"/>
    <w:pPr>
      <w:spacing w:after="120"/>
    </w:pPr>
  </w:style>
  <w:style w:type="character" w:styleId="BodyTextChar" w:customStyle="1">
    <w:name w:val="Body Text Char"/>
    <w:basedOn w:val="DefaultParagraphFont"/>
    <w:link w:val="BodyText"/>
    <w:uiPriority w:val="99"/>
    <w:semiHidden/>
    <w:rsid w:val="0028045C"/>
  </w:style>
  <w:style w:type="character" w:styleId="Mention">
    <w:name w:val="Mention"/>
    <w:basedOn w:val="DefaultParagraphFont"/>
    <w:uiPriority w:val="99"/>
    <w:unhideWhenUsed/>
    <w:rsid w:val="00642D1A"/>
    <w:rPr>
      <w:color w:val="2B579A"/>
      <w:shd w:val="clear" w:color="auto" w:fill="E1DFDD"/>
    </w:rPr>
  </w:style>
  <w:style w:type="paragraph" w:styleId="Revision">
    <w:name w:val="Revision"/>
    <w:hidden/>
    <w:uiPriority w:val="99"/>
    <w:semiHidden/>
    <w:rsid w:val="00025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people" Target="people.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de22d3f-b5bb-4fa4-b79c-3b7263598f65}" enabled="0" method="" siteId="{ade22d3f-b5bb-4fa4-b79c-3b7263598f6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The Natural Rate of Interest in India: A Macro-Finance Yield Curve Approach</dc:title>
  <dc:creator>Research proposal</dc:creator>
  <lastModifiedBy>Amit Pawar</lastModifiedBy>
  <revision>17</revision>
  <dcterms:created xsi:type="dcterms:W3CDTF">2026-10-23T06:49:00.0000000Z</dcterms:created>
  <dcterms:modified xsi:type="dcterms:W3CDTF">2026-10-26T09:34:07.9883883Z</dcterms:modified>
</coreProperties>
</file>