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ABFB6" w14:textId="77777777" w:rsidR="008D1368" w:rsidRPr="008D1368" w:rsidRDefault="008D1368" w:rsidP="008D1368">
      <w:pPr>
        <w:rPr>
          <w:b/>
          <w:bCs/>
        </w:rPr>
      </w:pPr>
      <w:r w:rsidRPr="008D1368">
        <w:rPr>
          <w:b/>
          <w:bCs/>
        </w:rPr>
        <w:t>Task 3 — Visualization Challenge</w:t>
      </w:r>
    </w:p>
    <w:p w14:paraId="36A94C1C" w14:textId="77777777" w:rsidR="008D1368" w:rsidRPr="008D1368" w:rsidRDefault="008D1368" w:rsidP="008D1368">
      <w:r w:rsidRPr="008D1368">
        <w:rPr>
          <w:b/>
          <w:bCs/>
        </w:rPr>
        <w:t>Objective</w:t>
      </w:r>
    </w:p>
    <w:p w14:paraId="17D9A158" w14:textId="77777777" w:rsidR="008D1368" w:rsidRPr="008D1368" w:rsidRDefault="008D1368" w:rsidP="008D1368">
      <w:r w:rsidRPr="008D1368">
        <w:t>The objective of Task 3 is to communicate the key findings from the Superstore sales analysis through a clear dashboard containing KPI summaries, trend visualization, category and product comparisons, customer-segment information, and regional performance.</w:t>
      </w:r>
    </w:p>
    <w:p w14:paraId="130F7846" w14:textId="58729981" w:rsidR="008D1368" w:rsidRPr="008D1368" w:rsidRDefault="008D1368" w:rsidP="008D1368">
      <w:r w:rsidRPr="008D1368">
        <w:t>The dashboard was developed in Power BI using the same Sample Superstore dataset analy</w:t>
      </w:r>
      <w:r>
        <w:t>s</w:t>
      </w:r>
      <w:r w:rsidRPr="008D1368">
        <w:t>ed in Task 2. This maintains consistency between the analytical calculations and the visual outputs.</w:t>
      </w:r>
    </w:p>
    <w:p w14:paraId="5385DDF6" w14:textId="77777777" w:rsidR="008D1368" w:rsidRPr="008D1368" w:rsidRDefault="008D1368" w:rsidP="008D1368">
      <w:pPr>
        <w:rPr>
          <w:b/>
          <w:bCs/>
        </w:rPr>
      </w:pPr>
      <w:r w:rsidRPr="008D1368">
        <w:rPr>
          <w:b/>
          <w:bCs/>
        </w:rPr>
        <w:t>Dashboard KPI Cards</w:t>
      </w:r>
    </w:p>
    <w:p w14:paraId="51A0F99D" w14:textId="77777777" w:rsidR="008D1368" w:rsidRPr="008D1368" w:rsidRDefault="008D1368" w:rsidP="008D1368">
      <w:r w:rsidRPr="008D1368">
        <w:t>The dashboard displays four headline KPIs: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08"/>
        <w:gridCol w:w="1363"/>
      </w:tblGrid>
      <w:tr w:rsidR="008D1368" w:rsidRPr="008D1368" w14:paraId="3BEF12CB" w14:textId="77777777">
        <w:trPr>
          <w:tblHeader/>
          <w:tblCellSpacing w:w="15" w:type="dxa"/>
        </w:trPr>
        <w:tc>
          <w:tcPr>
            <w:tcW w:w="0" w:type="auto"/>
            <w:vAlign w:val="center"/>
            <w:hideMark/>
          </w:tcPr>
          <w:p w14:paraId="2794CE4F" w14:textId="77777777" w:rsidR="008D1368" w:rsidRPr="008D1368" w:rsidRDefault="008D1368" w:rsidP="008D1368">
            <w:pPr>
              <w:rPr>
                <w:b/>
                <w:bCs/>
              </w:rPr>
            </w:pPr>
            <w:r w:rsidRPr="008D1368">
              <w:rPr>
                <w:b/>
                <w:bCs/>
              </w:rPr>
              <w:t>KPI</w:t>
            </w:r>
          </w:p>
        </w:tc>
        <w:tc>
          <w:tcPr>
            <w:tcW w:w="0" w:type="auto"/>
            <w:vAlign w:val="center"/>
            <w:hideMark/>
          </w:tcPr>
          <w:p w14:paraId="12BB711D" w14:textId="77777777" w:rsidR="008D1368" w:rsidRPr="008D1368" w:rsidRDefault="008D1368" w:rsidP="008D1368">
            <w:pPr>
              <w:rPr>
                <w:b/>
                <w:bCs/>
              </w:rPr>
            </w:pPr>
            <w:r w:rsidRPr="008D1368">
              <w:rPr>
                <w:b/>
                <w:bCs/>
              </w:rPr>
              <w:t>Result</w:t>
            </w:r>
          </w:p>
        </w:tc>
      </w:tr>
      <w:tr w:rsidR="008D1368" w:rsidRPr="008D1368" w14:paraId="7D1E0FD3" w14:textId="77777777">
        <w:trPr>
          <w:tblCellSpacing w:w="15" w:type="dxa"/>
        </w:trPr>
        <w:tc>
          <w:tcPr>
            <w:tcW w:w="0" w:type="auto"/>
            <w:vAlign w:val="center"/>
            <w:hideMark/>
          </w:tcPr>
          <w:p w14:paraId="5DB0C47F" w14:textId="77777777" w:rsidR="008D1368" w:rsidRPr="008D1368" w:rsidRDefault="008D1368" w:rsidP="008D1368">
            <w:r w:rsidRPr="008D1368">
              <w:t>Total Revenue</w:t>
            </w:r>
          </w:p>
        </w:tc>
        <w:tc>
          <w:tcPr>
            <w:tcW w:w="0" w:type="auto"/>
            <w:vAlign w:val="center"/>
            <w:hideMark/>
          </w:tcPr>
          <w:p w14:paraId="616F124D" w14:textId="77777777" w:rsidR="008D1368" w:rsidRPr="008D1368" w:rsidRDefault="008D1368" w:rsidP="008D1368">
            <w:r w:rsidRPr="008D1368">
              <w:rPr>
                <w:b/>
                <w:bCs/>
              </w:rPr>
              <w:t>$2,297,200.86</w:t>
            </w:r>
          </w:p>
        </w:tc>
      </w:tr>
      <w:tr w:rsidR="008D1368" w:rsidRPr="008D1368" w14:paraId="45539CB8" w14:textId="77777777">
        <w:trPr>
          <w:tblCellSpacing w:w="15" w:type="dxa"/>
        </w:trPr>
        <w:tc>
          <w:tcPr>
            <w:tcW w:w="0" w:type="auto"/>
            <w:vAlign w:val="center"/>
            <w:hideMark/>
          </w:tcPr>
          <w:p w14:paraId="05521B86" w14:textId="77777777" w:rsidR="008D1368" w:rsidRPr="008D1368" w:rsidRDefault="008D1368" w:rsidP="008D1368">
            <w:r w:rsidRPr="008D1368">
              <w:t>Total Orders</w:t>
            </w:r>
          </w:p>
        </w:tc>
        <w:tc>
          <w:tcPr>
            <w:tcW w:w="0" w:type="auto"/>
            <w:vAlign w:val="center"/>
            <w:hideMark/>
          </w:tcPr>
          <w:p w14:paraId="39F69F8C" w14:textId="77777777" w:rsidR="008D1368" w:rsidRPr="008D1368" w:rsidRDefault="008D1368" w:rsidP="008D1368">
            <w:r w:rsidRPr="008D1368">
              <w:rPr>
                <w:b/>
                <w:bCs/>
              </w:rPr>
              <w:t>5,009</w:t>
            </w:r>
          </w:p>
        </w:tc>
      </w:tr>
      <w:tr w:rsidR="008D1368" w:rsidRPr="008D1368" w14:paraId="48D507AE" w14:textId="77777777">
        <w:trPr>
          <w:tblCellSpacing w:w="15" w:type="dxa"/>
        </w:trPr>
        <w:tc>
          <w:tcPr>
            <w:tcW w:w="0" w:type="auto"/>
            <w:vAlign w:val="center"/>
            <w:hideMark/>
          </w:tcPr>
          <w:p w14:paraId="33B01709" w14:textId="77777777" w:rsidR="008D1368" w:rsidRPr="008D1368" w:rsidRDefault="008D1368" w:rsidP="008D1368">
            <w:r w:rsidRPr="008D1368">
              <w:t>Average Order Value</w:t>
            </w:r>
          </w:p>
        </w:tc>
        <w:tc>
          <w:tcPr>
            <w:tcW w:w="0" w:type="auto"/>
            <w:vAlign w:val="center"/>
            <w:hideMark/>
          </w:tcPr>
          <w:p w14:paraId="05708618" w14:textId="77777777" w:rsidR="008D1368" w:rsidRPr="008D1368" w:rsidRDefault="008D1368" w:rsidP="008D1368">
            <w:r w:rsidRPr="008D1368">
              <w:rPr>
                <w:b/>
                <w:bCs/>
              </w:rPr>
              <w:t>$458.61</w:t>
            </w:r>
          </w:p>
        </w:tc>
      </w:tr>
      <w:tr w:rsidR="008D1368" w:rsidRPr="008D1368" w14:paraId="06AB9314" w14:textId="77777777">
        <w:trPr>
          <w:tblCellSpacing w:w="15" w:type="dxa"/>
        </w:trPr>
        <w:tc>
          <w:tcPr>
            <w:tcW w:w="0" w:type="auto"/>
            <w:vAlign w:val="center"/>
            <w:hideMark/>
          </w:tcPr>
          <w:p w14:paraId="2F948A8F" w14:textId="77777777" w:rsidR="008D1368" w:rsidRPr="008D1368" w:rsidRDefault="008D1368" w:rsidP="008D1368">
            <w:r w:rsidRPr="008D1368">
              <w:t>Total Units Sold</w:t>
            </w:r>
          </w:p>
        </w:tc>
        <w:tc>
          <w:tcPr>
            <w:tcW w:w="0" w:type="auto"/>
            <w:vAlign w:val="center"/>
            <w:hideMark/>
          </w:tcPr>
          <w:p w14:paraId="70945C73" w14:textId="77777777" w:rsidR="008D1368" w:rsidRPr="008D1368" w:rsidRDefault="008D1368" w:rsidP="008D1368">
            <w:r w:rsidRPr="008D1368">
              <w:rPr>
                <w:b/>
                <w:bCs/>
              </w:rPr>
              <w:t>37,873</w:t>
            </w:r>
          </w:p>
        </w:tc>
      </w:tr>
    </w:tbl>
    <w:p w14:paraId="7F361DEF" w14:textId="77777777" w:rsidR="008D1368" w:rsidRPr="008D1368" w:rsidRDefault="008D1368" w:rsidP="008D1368">
      <w:r w:rsidRPr="008D1368">
        <w:rPr>
          <w:b/>
          <w:bCs/>
        </w:rPr>
        <w:t>Interpretation:</w:t>
      </w:r>
      <w:r w:rsidRPr="008D1368">
        <w:t xml:space="preserve"> The dataset represents approximately </w:t>
      </w:r>
      <w:r w:rsidRPr="008D1368">
        <w:rPr>
          <w:b/>
          <w:bCs/>
        </w:rPr>
        <w:t>$2.30 million in sales from 5,009 unique orders and 37,873 units sold</w:t>
      </w:r>
      <w:r w:rsidRPr="008D1368">
        <w:t xml:space="preserve">. Average revenue per unique order is approximately </w:t>
      </w:r>
      <w:r w:rsidRPr="008D1368">
        <w:rPr>
          <w:b/>
          <w:bCs/>
        </w:rPr>
        <w:t>$458.61</w:t>
      </w:r>
      <w:r w:rsidRPr="008D1368">
        <w:t>. These cards provide an immediate overview of overall sales activity before the more detailed visual comparisons are examined.</w:t>
      </w:r>
    </w:p>
    <w:p w14:paraId="5A275874" w14:textId="77777777" w:rsidR="008D1368" w:rsidRPr="008D1368" w:rsidRDefault="008D1368" w:rsidP="008D1368">
      <w:pPr>
        <w:rPr>
          <w:b/>
          <w:bCs/>
        </w:rPr>
      </w:pPr>
      <w:r w:rsidRPr="008D1368">
        <w:rPr>
          <w:b/>
          <w:bCs/>
        </w:rPr>
        <w:t>Revenue by Category — Bar Chart</w:t>
      </w:r>
    </w:p>
    <w:p w14:paraId="32793315" w14:textId="77777777" w:rsidR="008D1368" w:rsidRPr="008D1368" w:rsidRDefault="008D1368" w:rsidP="008D1368">
      <w:r w:rsidRPr="008D1368">
        <w:t>The bar chart compares total revenue across Technology, Furniture, and Office Supplies.</w:t>
      </w:r>
    </w:p>
    <w:p w14:paraId="6EA97768" w14:textId="77777777" w:rsidR="008D1368" w:rsidRPr="008D1368" w:rsidRDefault="008D1368" w:rsidP="008D1368">
      <w:r w:rsidRPr="008D1368">
        <w:rPr>
          <w:b/>
          <w:bCs/>
        </w:rPr>
        <w:t>Interpretation:</w:t>
      </w:r>
      <w:r w:rsidRPr="008D1368">
        <w:t xml:space="preserve"> </w:t>
      </w:r>
      <w:r w:rsidRPr="008D1368">
        <w:rPr>
          <w:b/>
          <w:bCs/>
        </w:rPr>
        <w:t>Technology generated the highest revenue at approximately $836,154</w:t>
      </w:r>
      <w:r w:rsidRPr="008D1368">
        <w:t xml:space="preserve">, representing about </w:t>
      </w:r>
      <w:r w:rsidRPr="008D1368">
        <w:rPr>
          <w:b/>
          <w:bCs/>
        </w:rPr>
        <w:t>36.40% of total revenue</w:t>
      </w:r>
      <w:r w:rsidRPr="008D1368">
        <w:t>. Furniture contributed approximately $742,000 and Office Supplies approximately $719,000. Although Technology leads, revenue remains relatively distributed across all three categories rather than being concentrated overwhelmingly in one category.</w:t>
      </w:r>
    </w:p>
    <w:p w14:paraId="7656B542" w14:textId="77777777" w:rsidR="008D1368" w:rsidRPr="008D1368" w:rsidRDefault="008D1368" w:rsidP="008D1368">
      <w:r w:rsidRPr="008D1368">
        <w:t>The chart type is appropriate because the handbook recommends bar charts for comparisons such as revenue by category. Data Science Week 1</w:t>
      </w:r>
    </w:p>
    <w:p w14:paraId="77749524" w14:textId="77777777" w:rsidR="008D1368" w:rsidRPr="008D1368" w:rsidRDefault="008D1368" w:rsidP="008D1368">
      <w:pPr>
        <w:rPr>
          <w:b/>
          <w:bCs/>
        </w:rPr>
      </w:pPr>
      <w:r w:rsidRPr="008D1368">
        <w:rPr>
          <w:b/>
          <w:bCs/>
        </w:rPr>
        <w:t>Monthly Sales Trend — Line Chart</w:t>
      </w:r>
    </w:p>
    <w:p w14:paraId="4E8A8322" w14:textId="77777777" w:rsidR="008D1368" w:rsidRPr="008D1368" w:rsidRDefault="008D1368" w:rsidP="008D1368">
      <w:r w:rsidRPr="008D1368">
        <w:t>The line chart displays revenue over the monthly time sequence using Order Date.</w:t>
      </w:r>
    </w:p>
    <w:p w14:paraId="32D58F56" w14:textId="77777777" w:rsidR="008D1368" w:rsidRPr="008D1368" w:rsidRDefault="008D1368" w:rsidP="008D1368">
      <w:r w:rsidRPr="008D1368">
        <w:rPr>
          <w:b/>
          <w:bCs/>
        </w:rPr>
        <w:t>Interpretation:</w:t>
      </w:r>
      <w:r w:rsidRPr="008D1368">
        <w:t xml:space="preserve"> Monthly revenue varies considerably across the period, with </w:t>
      </w:r>
      <w:r w:rsidRPr="008D1368">
        <w:rPr>
          <w:b/>
          <w:bCs/>
        </w:rPr>
        <w:t>November 2017 recording the highest observed monthly revenue at approximately $118,448</w:t>
      </w:r>
      <w:r w:rsidRPr="008D1368">
        <w:t>. The broader analysis also shows stronger sales activity during 2016 and 2017 compared with the earlier years. The chart identifies peaks and declines visually, but the available data does not establish the specific causes of those monthly variations.</w:t>
      </w:r>
    </w:p>
    <w:p w14:paraId="45E8A3DE" w14:textId="77777777" w:rsidR="008D1368" w:rsidRPr="008D1368" w:rsidRDefault="008D1368" w:rsidP="008D1368">
      <w:r w:rsidRPr="008D1368">
        <w:t>This meets the handbook's expectation that line charts show change over time and that peaks or drops receive an accompanying insight. Data Science Week 1</w:t>
      </w:r>
    </w:p>
    <w:p w14:paraId="08E35C62" w14:textId="77777777" w:rsidR="008D1368" w:rsidRPr="008D1368" w:rsidRDefault="008D1368" w:rsidP="008D1368">
      <w:pPr>
        <w:rPr>
          <w:b/>
          <w:bCs/>
        </w:rPr>
      </w:pPr>
      <w:r w:rsidRPr="008D1368">
        <w:rPr>
          <w:b/>
          <w:bCs/>
        </w:rPr>
        <w:t>Revenue Share by Customer Segment — Pie Chart</w:t>
      </w:r>
    </w:p>
    <w:p w14:paraId="155BE230" w14:textId="77777777" w:rsidR="008D1368" w:rsidRPr="008D1368" w:rsidRDefault="008D1368" w:rsidP="008D1368">
      <w:r w:rsidRPr="008D1368">
        <w:lastRenderedPageBreak/>
        <w:t>The pie chart compares the contribution of Consumer, Corporate, and Home Office customers to total revenue.</w:t>
      </w:r>
    </w:p>
    <w:p w14:paraId="010102F7" w14:textId="77777777" w:rsidR="008D1368" w:rsidRPr="008D1368" w:rsidRDefault="008D1368" w:rsidP="008D1368">
      <w:r w:rsidRPr="008D1368">
        <w:rPr>
          <w:b/>
          <w:bCs/>
        </w:rPr>
        <w:t>Interpretation:</w:t>
      </w:r>
      <w:r w:rsidRPr="008D1368">
        <w:t xml:space="preserve"> The </w:t>
      </w:r>
      <w:r w:rsidRPr="008D1368">
        <w:rPr>
          <w:b/>
          <w:bCs/>
        </w:rPr>
        <w:t>Consumer segment contributes the largest revenue share at approximately 50.56%</w:t>
      </w:r>
      <w:r w:rsidRPr="008D1368">
        <w:t xml:space="preserve">, followed by Corporate at </w:t>
      </w:r>
      <w:r w:rsidRPr="008D1368">
        <w:rPr>
          <w:b/>
          <w:bCs/>
        </w:rPr>
        <w:t>30.74%</w:t>
      </w:r>
      <w:r w:rsidRPr="008D1368">
        <w:t xml:space="preserve"> and Home Office at </w:t>
      </w:r>
      <w:r w:rsidRPr="008D1368">
        <w:rPr>
          <w:b/>
          <w:bCs/>
        </w:rPr>
        <w:t>18.70%</w:t>
      </w:r>
      <w:r w:rsidRPr="008D1368">
        <w:t>. Consumer therefore represents roughly half of observed revenue.</w:t>
      </w:r>
    </w:p>
    <w:p w14:paraId="1EDB61B3" w14:textId="77777777" w:rsidR="008D1368" w:rsidRPr="008D1368" w:rsidRDefault="008D1368" w:rsidP="008D1368">
      <w:r w:rsidRPr="008D1368">
        <w:t xml:space="preserve">Using a pie chart here is reasonable because there are only </w:t>
      </w:r>
      <w:r w:rsidRPr="008D1368">
        <w:rPr>
          <w:b/>
          <w:bCs/>
        </w:rPr>
        <w:t>three segments</w:t>
      </w:r>
      <w:r w:rsidRPr="008D1368">
        <w:t>, keeping the proportional comparison manageable, which follows the handbook's guidance on limiting pie charts to a small number of categories. Data Science Week 1</w:t>
      </w:r>
    </w:p>
    <w:p w14:paraId="613FCAB2" w14:textId="77777777" w:rsidR="008D1368" w:rsidRPr="008D1368" w:rsidRDefault="008D1368" w:rsidP="008D1368">
      <w:pPr>
        <w:rPr>
          <w:b/>
          <w:bCs/>
        </w:rPr>
      </w:pPr>
      <w:r w:rsidRPr="008D1368">
        <w:rPr>
          <w:b/>
          <w:bCs/>
        </w:rPr>
        <w:t>Top 10 Products by Units Sold — Bar Chart</w:t>
      </w:r>
    </w:p>
    <w:p w14:paraId="674FFC9F" w14:textId="77777777" w:rsidR="008D1368" w:rsidRPr="008D1368" w:rsidRDefault="008D1368" w:rsidP="008D1368">
      <w:r w:rsidRPr="008D1368">
        <w:t>The chart ranks the ten highest-volume products using Total Units Sold.</w:t>
      </w:r>
    </w:p>
    <w:p w14:paraId="029B3BC7" w14:textId="77777777" w:rsidR="008D1368" w:rsidRPr="008D1368" w:rsidRDefault="008D1368" w:rsidP="008D1368">
      <w:r w:rsidRPr="008D1368">
        <w:rPr>
          <w:b/>
          <w:bCs/>
        </w:rPr>
        <w:t>Interpretation:</w:t>
      </w:r>
      <w:r w:rsidRPr="008D1368">
        <w:t xml:space="preserve"> </w:t>
      </w:r>
      <w:r w:rsidRPr="008D1368">
        <w:rPr>
          <w:b/>
          <w:bCs/>
        </w:rPr>
        <w:t>Staples ranks first by unit volume with 215 units sold</w:t>
      </w:r>
      <w:r w:rsidRPr="008D1368">
        <w:t xml:space="preserve">. This is particularly useful when compared with the Task 2 revenue analysis: the highest-revenue product was the </w:t>
      </w:r>
      <w:r w:rsidRPr="008D1368">
        <w:rPr>
          <w:b/>
          <w:bCs/>
        </w:rPr>
        <w:t>Canon imageCLASS 2200 Advanced Copier</w:t>
      </w:r>
      <w:r w:rsidRPr="008D1368">
        <w:t>, not Staples. Therefore, a product can lead in sales volume without leading in revenue, demonstrating the importance of evaluating both unit demand and monetary contribution.</w:t>
      </w:r>
    </w:p>
    <w:p w14:paraId="1850F6DF" w14:textId="77777777" w:rsidR="008D1368" w:rsidRPr="008D1368" w:rsidRDefault="008D1368" w:rsidP="008D1368">
      <w:pPr>
        <w:rPr>
          <w:b/>
          <w:bCs/>
        </w:rPr>
      </w:pPr>
      <w:r w:rsidRPr="008D1368">
        <w:rPr>
          <w:b/>
          <w:bCs/>
        </w:rPr>
        <w:t>Revenue by Region — Column Chart</w:t>
      </w:r>
    </w:p>
    <w:p w14:paraId="751B779E" w14:textId="77777777" w:rsidR="008D1368" w:rsidRPr="008D1368" w:rsidRDefault="008D1368" w:rsidP="008D1368">
      <w:r w:rsidRPr="008D1368">
        <w:t>The regional chart compares revenue across West, East, Central, and South.</w:t>
      </w:r>
    </w:p>
    <w:p w14:paraId="39C8D87E" w14:textId="77777777" w:rsidR="008D1368" w:rsidRPr="008D1368" w:rsidRDefault="008D1368" w:rsidP="008D1368">
      <w:r w:rsidRPr="008D1368">
        <w:rPr>
          <w:b/>
          <w:bCs/>
        </w:rPr>
        <w:t>Interpretation:</w:t>
      </w:r>
      <w:r w:rsidRPr="008D1368">
        <w:t xml:space="preserve"> The </w:t>
      </w:r>
      <w:r w:rsidRPr="008D1368">
        <w:rPr>
          <w:b/>
          <w:bCs/>
        </w:rPr>
        <w:t>West generated the highest revenue at approximately $725,458 (31.58%)</w:t>
      </w:r>
      <w:r w:rsidRPr="008D1368">
        <w:t>, followed by East at approximately $678,781 (29.55%), Central at approximately $501,240 (21.82%), and South at approximately $391,722 (17.05%). The visual therefore shows meaningful geographic differences in revenue contribution, with West and East together accounting for the majority of observed sales.</w:t>
      </w:r>
    </w:p>
    <w:p w14:paraId="6926296C" w14:textId="77777777" w:rsidR="008D1368" w:rsidRPr="008D1368" w:rsidRDefault="008D1368" w:rsidP="008D1368">
      <w:pPr>
        <w:rPr>
          <w:b/>
          <w:bCs/>
        </w:rPr>
      </w:pPr>
      <w:r w:rsidRPr="008D1368">
        <w:rPr>
          <w:b/>
          <w:bCs/>
        </w:rPr>
        <w:t>Dashboard Filters</w:t>
      </w:r>
    </w:p>
    <w:p w14:paraId="780FF14B" w14:textId="77777777" w:rsidR="008D1368" w:rsidRPr="008D1368" w:rsidRDefault="008D1368" w:rsidP="008D1368">
      <w:r w:rsidRPr="008D1368">
        <w:t>The dashboard also contains slicers for:</w:t>
      </w:r>
    </w:p>
    <w:p w14:paraId="16A8BB04" w14:textId="77777777" w:rsidR="008D1368" w:rsidRPr="008D1368" w:rsidRDefault="008D1368" w:rsidP="008D1368">
      <w:r w:rsidRPr="008D1368">
        <w:rPr>
          <w:b/>
          <w:bCs/>
        </w:rPr>
        <w:t>Year · Region · Category · Segment</w:t>
      </w:r>
    </w:p>
    <w:p w14:paraId="621B4A2A" w14:textId="77777777" w:rsidR="008D1368" w:rsidRPr="008D1368" w:rsidRDefault="008D1368" w:rsidP="008D1368">
      <w:r w:rsidRPr="008D1368">
        <w:t xml:space="preserve">These provide convenient ways to examine the dashboard across major time, geographic, product, and customer dimensions. However, because the assignment only requires a static dashboard mockup, the dashboard's compliance does not depend on interactivity. The handbook explicitly states that the dashboard </w:t>
      </w:r>
      <w:r w:rsidRPr="008D1368">
        <w:rPr>
          <w:b/>
          <w:bCs/>
        </w:rPr>
        <w:t>may be static and does not need to be interactive</w:t>
      </w:r>
      <w:r w:rsidRPr="008D1368">
        <w:t>. Data Science Week 1</w:t>
      </w:r>
    </w:p>
    <w:p w14:paraId="4BF9128F" w14:textId="77777777" w:rsidR="008D1368" w:rsidRPr="008D1368" w:rsidRDefault="008D1368" w:rsidP="008D1368">
      <w:pPr>
        <w:rPr>
          <w:b/>
          <w:bCs/>
        </w:rPr>
      </w:pPr>
      <w:r w:rsidRPr="008D1368">
        <w:rPr>
          <w:b/>
          <w:bCs/>
        </w:rPr>
        <w:t>Overall dashboard interpretation</w:t>
      </w:r>
    </w:p>
    <w:p w14:paraId="2D49E7F8" w14:textId="77777777" w:rsidR="008D1368" w:rsidRPr="008D1368" w:rsidRDefault="008D1368" w:rsidP="008D1368">
      <w:r w:rsidRPr="008D1368">
        <w:t>Taken together, the dashboard communicates several aspects of business performance on a single page: overall sales scale through KPI cards, changes in revenue over time, category contribution, customer-segment composition, regional differences, and high-volume products.</w:t>
      </w:r>
    </w:p>
    <w:p w14:paraId="0754DDC7" w14:textId="77777777" w:rsidR="008D1368" w:rsidRPr="008D1368" w:rsidRDefault="008D1368" w:rsidP="008D1368">
      <w:r w:rsidRPr="008D1368">
        <w:t xml:space="preserve">The visuals complement one another rather than simply repeating the same metric. In particular, comparing product unit volume with Task 2's product revenue analysis shows that </w:t>
      </w:r>
      <w:r w:rsidRPr="008D1368">
        <w:rPr>
          <w:b/>
          <w:bCs/>
        </w:rPr>
        <w:t>sales volume and revenue contribution represent different dimensions of product performance</w:t>
      </w:r>
      <w:r w:rsidRPr="008D1368">
        <w:t>.</w:t>
      </w:r>
    </w:p>
    <w:p w14:paraId="1614EB95" w14:textId="77777777" w:rsidR="00E82A81" w:rsidRDefault="008D1368" w:rsidP="00E82A81">
      <w:r w:rsidRPr="008D1368">
        <w:t>This follows the handbook's expectation that visualizations should support the analysis story and that insight statements should be evidence-based.</w:t>
      </w:r>
      <w:r w:rsidR="00E82A81">
        <w:br/>
      </w:r>
    </w:p>
    <w:p w14:paraId="293AE978" w14:textId="6284A759" w:rsidR="00E82A81" w:rsidRPr="00E82A81" w:rsidRDefault="00E82A81" w:rsidP="00E82A81">
      <w:r w:rsidRPr="00E82A81">
        <w:rPr>
          <w:b/>
          <w:bCs/>
        </w:rPr>
        <w:lastRenderedPageBreak/>
        <w:t>Consolidated Key Findings</w:t>
      </w:r>
    </w:p>
    <w:p w14:paraId="541B6527" w14:textId="77777777" w:rsidR="00E82A81" w:rsidRPr="00E82A81" w:rsidRDefault="00E82A81" w:rsidP="00E82A81">
      <w:r w:rsidRPr="00E82A81">
        <w:t>The combined sales analysis and visualization work produced the following key findings:</w:t>
      </w:r>
    </w:p>
    <w:p w14:paraId="3A046ABA" w14:textId="77777777" w:rsidR="00E82A81" w:rsidRPr="00E82A81" w:rsidRDefault="00E82A81" w:rsidP="00E82A81">
      <w:pPr>
        <w:numPr>
          <w:ilvl w:val="0"/>
          <w:numId w:val="1"/>
        </w:numPr>
      </w:pPr>
      <w:r w:rsidRPr="00E82A81">
        <w:rPr>
          <w:b/>
          <w:bCs/>
        </w:rPr>
        <w:t>Overall sales performance:</w:t>
      </w:r>
      <w:r w:rsidRPr="00E82A81">
        <w:t xml:space="preserve"> The Superstore dataset generated approximately </w:t>
      </w:r>
      <w:r w:rsidRPr="00E82A81">
        <w:rPr>
          <w:b/>
          <w:bCs/>
        </w:rPr>
        <w:t>$2.30 million in total revenue</w:t>
      </w:r>
      <w:r w:rsidRPr="00E82A81">
        <w:t xml:space="preserve"> from </w:t>
      </w:r>
      <w:r w:rsidRPr="00E82A81">
        <w:rPr>
          <w:b/>
          <w:bCs/>
        </w:rPr>
        <w:t>5,009 unique orders</w:t>
      </w:r>
      <w:r w:rsidRPr="00E82A81">
        <w:t xml:space="preserve"> and </w:t>
      </w:r>
      <w:r w:rsidRPr="00E82A81">
        <w:rPr>
          <w:b/>
          <w:bCs/>
        </w:rPr>
        <w:t>37,873 units sold</w:t>
      </w:r>
      <w:r w:rsidRPr="00E82A81">
        <w:t xml:space="preserve">, with an average order value of approximately </w:t>
      </w:r>
      <w:r w:rsidRPr="00E82A81">
        <w:rPr>
          <w:b/>
          <w:bCs/>
        </w:rPr>
        <w:t>$458.61</w:t>
      </w:r>
      <w:r w:rsidRPr="00E82A81">
        <w:t>.</w:t>
      </w:r>
    </w:p>
    <w:p w14:paraId="567F2814" w14:textId="77777777" w:rsidR="00E82A81" w:rsidRPr="00E82A81" w:rsidRDefault="00E82A81" w:rsidP="00E82A81">
      <w:pPr>
        <w:numPr>
          <w:ilvl w:val="0"/>
          <w:numId w:val="1"/>
        </w:numPr>
      </w:pPr>
      <w:r w:rsidRPr="00E82A81">
        <w:rPr>
          <w:b/>
          <w:bCs/>
        </w:rPr>
        <w:t>Sales strengthened during the later years:</w:t>
      </w:r>
      <w:r w:rsidRPr="00E82A81">
        <w:t xml:space="preserve"> Revenue declined by approximately </w:t>
      </w:r>
      <w:r w:rsidRPr="00E82A81">
        <w:rPr>
          <w:b/>
          <w:bCs/>
        </w:rPr>
        <w:t>2.83% in 2015</w:t>
      </w:r>
      <w:r w:rsidRPr="00E82A81">
        <w:t xml:space="preserve">, followed by increases of approximately </w:t>
      </w:r>
      <w:r w:rsidRPr="00E82A81">
        <w:rPr>
          <w:b/>
          <w:bCs/>
        </w:rPr>
        <w:t>29.47% in 2016</w:t>
      </w:r>
      <w:r w:rsidRPr="00E82A81">
        <w:t xml:space="preserve"> and </w:t>
      </w:r>
      <w:r w:rsidRPr="00E82A81">
        <w:rPr>
          <w:b/>
          <w:bCs/>
        </w:rPr>
        <w:t>20.36% in 2017</w:t>
      </w:r>
      <w:r w:rsidRPr="00E82A81">
        <w:t>. Order count and units sold also increased during the later years.</w:t>
      </w:r>
    </w:p>
    <w:p w14:paraId="67315E2E" w14:textId="77777777" w:rsidR="00E82A81" w:rsidRPr="00E82A81" w:rsidRDefault="00E82A81" w:rsidP="00E82A81">
      <w:pPr>
        <w:numPr>
          <w:ilvl w:val="0"/>
          <w:numId w:val="1"/>
        </w:numPr>
      </w:pPr>
      <w:r w:rsidRPr="00E82A81">
        <w:rPr>
          <w:b/>
          <w:bCs/>
        </w:rPr>
        <w:t>November 2017 recorded the highest monthly revenue:</w:t>
      </w:r>
      <w:r w:rsidRPr="00E82A81">
        <w:t xml:space="preserve"> The month generated approximately </w:t>
      </w:r>
      <w:r w:rsidRPr="00E82A81">
        <w:rPr>
          <w:b/>
          <w:bCs/>
        </w:rPr>
        <w:t>$118,448</w:t>
      </w:r>
      <w:r w:rsidRPr="00E82A81">
        <w:t xml:space="preserve"> from </w:t>
      </w:r>
      <w:r w:rsidRPr="00E82A81">
        <w:rPr>
          <w:b/>
          <w:bCs/>
        </w:rPr>
        <w:t>261 unique orders</w:t>
      </w:r>
      <w:r w:rsidRPr="00E82A81">
        <w:t xml:space="preserve"> and </w:t>
      </w:r>
      <w:r w:rsidRPr="00E82A81">
        <w:rPr>
          <w:b/>
          <w:bCs/>
        </w:rPr>
        <w:t>1,840 units sold</w:t>
      </w:r>
      <w:r w:rsidRPr="00E82A81">
        <w:t>, making it the strongest monthly sales period observed in the dataset.</w:t>
      </w:r>
    </w:p>
    <w:p w14:paraId="6BF6FF86" w14:textId="77777777" w:rsidR="00E82A81" w:rsidRPr="00E82A81" w:rsidRDefault="00E82A81" w:rsidP="00E82A81">
      <w:pPr>
        <w:numPr>
          <w:ilvl w:val="0"/>
          <w:numId w:val="1"/>
        </w:numPr>
      </w:pPr>
      <w:r w:rsidRPr="00E82A81">
        <w:rPr>
          <w:b/>
          <w:bCs/>
        </w:rPr>
        <w:t>Technology was the highest-revenue category:</w:t>
      </w:r>
      <w:r w:rsidRPr="00E82A81">
        <w:t xml:space="preserve"> Technology generated approximately </w:t>
      </w:r>
      <w:r w:rsidRPr="00E82A81">
        <w:rPr>
          <w:b/>
          <w:bCs/>
        </w:rPr>
        <w:t>$836,154</w:t>
      </w:r>
      <w:r w:rsidRPr="00E82A81">
        <w:t xml:space="preserve">, representing </w:t>
      </w:r>
      <w:r w:rsidRPr="00E82A81">
        <w:rPr>
          <w:b/>
          <w:bCs/>
        </w:rPr>
        <w:t>36.40% of total revenue</w:t>
      </w:r>
      <w:r w:rsidRPr="00E82A81">
        <w:t>. However, Furniture and Office Supplies also contributed substantial revenue, indicating a relatively balanced contribution across the three categories.</w:t>
      </w:r>
    </w:p>
    <w:p w14:paraId="7DB59855" w14:textId="77777777" w:rsidR="00E82A81" w:rsidRPr="00E82A81" w:rsidRDefault="00E82A81" w:rsidP="00E82A81">
      <w:pPr>
        <w:numPr>
          <w:ilvl w:val="0"/>
          <w:numId w:val="1"/>
        </w:numPr>
      </w:pPr>
      <w:r w:rsidRPr="00E82A81">
        <w:rPr>
          <w:b/>
          <w:bCs/>
        </w:rPr>
        <w:t>Product revenue and sales volume showed different patterns:</w:t>
      </w:r>
      <w:r w:rsidRPr="00E82A81">
        <w:t xml:space="preserve"> The </w:t>
      </w:r>
      <w:r w:rsidRPr="00E82A81">
        <w:rPr>
          <w:b/>
          <w:bCs/>
        </w:rPr>
        <w:t>Canon imageCLASS 2200 Advanced Copier</w:t>
      </w:r>
      <w:r w:rsidRPr="00E82A81">
        <w:t xml:space="preserve"> generated the highest product revenue at approximately </w:t>
      </w:r>
      <w:r w:rsidRPr="00E82A81">
        <w:rPr>
          <w:b/>
          <w:bCs/>
        </w:rPr>
        <w:t>$61,600</w:t>
      </w:r>
      <w:r w:rsidRPr="00E82A81">
        <w:t xml:space="preserve">, while </w:t>
      </w:r>
      <w:r w:rsidRPr="00E82A81">
        <w:rPr>
          <w:b/>
          <w:bCs/>
        </w:rPr>
        <w:t>Staples</w:t>
      </w:r>
      <w:r w:rsidRPr="00E82A81">
        <w:t xml:space="preserve"> recorded the highest sales volume at </w:t>
      </w:r>
      <w:r w:rsidRPr="00E82A81">
        <w:rPr>
          <w:b/>
          <w:bCs/>
        </w:rPr>
        <w:t>215 units</w:t>
      </w:r>
      <w:r w:rsidRPr="00E82A81">
        <w:t>. Therefore, the product generating the most revenue was not the product selling the most units.</w:t>
      </w:r>
    </w:p>
    <w:p w14:paraId="3AA2015F" w14:textId="77777777" w:rsidR="00E82A81" w:rsidRPr="00E82A81" w:rsidRDefault="00E82A81" w:rsidP="00E82A81">
      <w:pPr>
        <w:numPr>
          <w:ilvl w:val="0"/>
          <w:numId w:val="1"/>
        </w:numPr>
      </w:pPr>
      <w:r w:rsidRPr="00E82A81">
        <w:rPr>
          <w:b/>
          <w:bCs/>
        </w:rPr>
        <w:t>The West generated the highest regional revenue:</w:t>
      </w:r>
      <w:r w:rsidRPr="00E82A81">
        <w:t xml:space="preserve"> The West contributed approximately </w:t>
      </w:r>
      <w:r w:rsidRPr="00E82A81">
        <w:rPr>
          <w:b/>
          <w:bCs/>
        </w:rPr>
        <w:t>$725,458</w:t>
      </w:r>
      <w:r w:rsidRPr="00E82A81">
        <w:t xml:space="preserve">, or </w:t>
      </w:r>
      <w:r w:rsidRPr="00E82A81">
        <w:rPr>
          <w:b/>
          <w:bCs/>
        </w:rPr>
        <w:t>31.58% of total revenue</w:t>
      </w:r>
      <w:r w:rsidRPr="00E82A81">
        <w:t xml:space="preserve">, followed by the East at approximately </w:t>
      </w:r>
      <w:r w:rsidRPr="00E82A81">
        <w:rPr>
          <w:b/>
          <w:bCs/>
        </w:rPr>
        <w:t>29.55%</w:t>
      </w:r>
      <w:r w:rsidRPr="00E82A81">
        <w:t>.</w:t>
      </w:r>
    </w:p>
    <w:p w14:paraId="741B632A" w14:textId="77777777" w:rsidR="00E82A81" w:rsidRPr="00E82A81" w:rsidRDefault="00E82A81" w:rsidP="00E82A81">
      <w:pPr>
        <w:numPr>
          <w:ilvl w:val="0"/>
          <w:numId w:val="1"/>
        </w:numPr>
      </w:pPr>
      <w:r w:rsidRPr="00E82A81">
        <w:rPr>
          <w:b/>
          <w:bCs/>
        </w:rPr>
        <w:t>Consumer was the largest customer segment:</w:t>
      </w:r>
      <w:r w:rsidRPr="00E82A81">
        <w:t xml:space="preserve"> The Consumer segment generated approximately </w:t>
      </w:r>
      <w:r w:rsidRPr="00E82A81">
        <w:rPr>
          <w:b/>
          <w:bCs/>
        </w:rPr>
        <w:t>50.56% of total revenue</w:t>
      </w:r>
      <w:r w:rsidRPr="00E82A81">
        <w:t xml:space="preserve"> and also recorded the highest number of unique orders among the three customer segments.</w:t>
      </w:r>
    </w:p>
    <w:p w14:paraId="59B8314D" w14:textId="77777777" w:rsidR="00E82A81" w:rsidRPr="00E82A81" w:rsidRDefault="00E82A81" w:rsidP="00E82A81">
      <w:pPr>
        <w:numPr>
          <w:ilvl w:val="0"/>
          <w:numId w:val="1"/>
        </w:numPr>
      </w:pPr>
      <w:r w:rsidRPr="00E82A81">
        <w:rPr>
          <w:b/>
          <w:bCs/>
        </w:rPr>
        <w:t>Repeat customers dominated the observed customer activity:</w:t>
      </w:r>
      <w:r w:rsidRPr="00E82A81">
        <w:t xml:space="preserve"> </w:t>
      </w:r>
      <w:r w:rsidRPr="00E82A81">
        <w:rPr>
          <w:b/>
          <w:bCs/>
        </w:rPr>
        <w:t>781 of 793 customers (98.49%)</w:t>
      </w:r>
      <w:r w:rsidRPr="00E82A81">
        <w:t xml:space="preserve"> placed more than one unique order and collectively generated approximately </w:t>
      </w:r>
      <w:r w:rsidRPr="00E82A81">
        <w:rPr>
          <w:b/>
          <w:bCs/>
        </w:rPr>
        <w:t>99.78% of total revenue</w:t>
      </w:r>
      <w:r w:rsidRPr="00E82A81">
        <w:t xml:space="preserve"> in the dataset.</w:t>
      </w:r>
    </w:p>
    <w:p w14:paraId="0A48384F" w14:textId="77777777" w:rsidR="00E82A81" w:rsidRPr="00E82A81" w:rsidRDefault="00E82A81" w:rsidP="00E82A81">
      <w:pPr>
        <w:rPr>
          <w:b/>
          <w:bCs/>
        </w:rPr>
      </w:pPr>
      <w:r w:rsidRPr="00E82A81">
        <w:rPr>
          <w:b/>
          <w:bCs/>
        </w:rPr>
        <w:t>Business Recommendations</w:t>
      </w:r>
    </w:p>
    <w:p w14:paraId="0FA4E04E" w14:textId="77777777" w:rsidR="00E82A81" w:rsidRPr="00E82A81" w:rsidRDefault="00E82A81" w:rsidP="00E82A81">
      <w:r w:rsidRPr="00E82A81">
        <w:t>The following recommendations are based on the observed patterns and should be treated as potential business actions rather than causal conclusions:</w:t>
      </w:r>
    </w:p>
    <w:p w14:paraId="433DCD41" w14:textId="77777777" w:rsidR="00E82A81" w:rsidRPr="00E82A81" w:rsidRDefault="00E82A81" w:rsidP="00E82A81">
      <w:pPr>
        <w:numPr>
          <w:ilvl w:val="0"/>
          <w:numId w:val="2"/>
        </w:numPr>
      </w:pPr>
      <w:r w:rsidRPr="00E82A81">
        <w:rPr>
          <w:b/>
          <w:bCs/>
        </w:rPr>
        <w:t>Prioritize repeat-customer retention:</w:t>
      </w:r>
      <w:r w:rsidRPr="00E82A81">
        <w:t xml:space="preserve"> Since repeat customers account for nearly all observed revenue, the business should evaluate loyalty, retention, and repeat-purchase initiatives while continuing to monitor new-customer acquisition.</w:t>
      </w:r>
    </w:p>
    <w:p w14:paraId="34F803F1" w14:textId="77777777" w:rsidR="00E82A81" w:rsidRPr="00E82A81" w:rsidRDefault="00E82A81" w:rsidP="00E82A81">
      <w:pPr>
        <w:numPr>
          <w:ilvl w:val="0"/>
          <w:numId w:val="2"/>
        </w:numPr>
      </w:pPr>
      <w:r w:rsidRPr="00E82A81">
        <w:rPr>
          <w:b/>
          <w:bCs/>
        </w:rPr>
        <w:t>Investigate the drivers of stronger later-period sales:</w:t>
      </w:r>
      <w:r w:rsidRPr="00E82A81">
        <w:t xml:space="preserve"> Sales increased substantially during 2016 and 2017, with November 2017 recording the highest monthly revenue. The business should examine available information on promotions, product mix, customer activity, and other operational factors during these periods to determine which factors may have contributed to the observed performance.</w:t>
      </w:r>
    </w:p>
    <w:p w14:paraId="29BBF969" w14:textId="77777777" w:rsidR="00E82A81" w:rsidRPr="00E82A81" w:rsidRDefault="00E82A81" w:rsidP="00E82A81">
      <w:pPr>
        <w:numPr>
          <w:ilvl w:val="0"/>
          <w:numId w:val="2"/>
        </w:numPr>
      </w:pPr>
      <w:r w:rsidRPr="00E82A81">
        <w:rPr>
          <w:b/>
          <w:bCs/>
        </w:rPr>
        <w:lastRenderedPageBreak/>
        <w:t>Evaluate products using both revenue and unit volume:</w:t>
      </w:r>
      <w:r w:rsidRPr="00E82A81">
        <w:t xml:space="preserve"> Since the highest-revenue product differs from the highest-volume product, inventory, merchandising, and product-performance decisions should consider both monetary contribution and unit demand.</w:t>
      </w:r>
    </w:p>
    <w:p w14:paraId="2B5C0836" w14:textId="77777777" w:rsidR="00E82A81" w:rsidRPr="00E82A81" w:rsidRDefault="00E82A81" w:rsidP="00E82A81">
      <w:pPr>
        <w:numPr>
          <w:ilvl w:val="0"/>
          <w:numId w:val="2"/>
        </w:numPr>
      </w:pPr>
      <w:r w:rsidRPr="00E82A81">
        <w:rPr>
          <w:b/>
          <w:bCs/>
        </w:rPr>
        <w:t>Maintain focus on Technology while preserving category diversification:</w:t>
      </w:r>
      <w:r w:rsidRPr="00E82A81">
        <w:t xml:space="preserve"> Technology generated the highest revenue, but Furniture and Office Supplies also made substantial contributions. Category planning should therefore consider the strength of the overall portfolio rather than relying exclusively on the leading category.</w:t>
      </w:r>
    </w:p>
    <w:p w14:paraId="04B3DC02" w14:textId="77777777" w:rsidR="00E82A81" w:rsidRPr="00E82A81" w:rsidRDefault="00E82A81" w:rsidP="00E82A81">
      <w:pPr>
        <w:numPr>
          <w:ilvl w:val="0"/>
          <w:numId w:val="2"/>
        </w:numPr>
      </w:pPr>
      <w:r w:rsidRPr="00E82A81">
        <w:rPr>
          <w:b/>
          <w:bCs/>
        </w:rPr>
        <w:t>Investigate regional differences further:</w:t>
      </w:r>
      <w:r w:rsidRPr="00E82A81">
        <w:t xml:space="preserve"> West and East generated the largest revenue shares, while Central and South contributed less. Further analysis of profitability, customer density, product mix, and order characteristics by region could help determine whether additional regional opportunities exist.</w:t>
      </w:r>
    </w:p>
    <w:p w14:paraId="030BEAC8" w14:textId="77777777" w:rsidR="00E82A81" w:rsidRPr="00E82A81" w:rsidRDefault="00E82A81" w:rsidP="00E82A81">
      <w:pPr>
        <w:numPr>
          <w:ilvl w:val="0"/>
          <w:numId w:val="2"/>
        </w:numPr>
      </w:pPr>
      <w:r w:rsidRPr="00E82A81">
        <w:rPr>
          <w:b/>
          <w:bCs/>
        </w:rPr>
        <w:t>Consider customer-segment differences in business planning:</w:t>
      </w:r>
      <w:r w:rsidRPr="00E82A81">
        <w:t xml:space="preserve"> Consumer customers generated approximately half of total revenue. Segment-specific merchandising or customer-engagement strategies could therefore be evaluated while recognizing that Corporate and Home Office customers remain meaningful contributors.</w:t>
      </w:r>
    </w:p>
    <w:p w14:paraId="5DCCD61C" w14:textId="1D2AC1BB" w:rsidR="008D1368" w:rsidRPr="008D1368" w:rsidRDefault="008D1368" w:rsidP="008D1368"/>
    <w:sectPr w:rsidR="008D1368" w:rsidRPr="008D136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C373C8"/>
    <w:multiLevelType w:val="multilevel"/>
    <w:tmpl w:val="033211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6A2551ED"/>
    <w:multiLevelType w:val="multilevel"/>
    <w:tmpl w:val="74BE05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17778580">
    <w:abstractNumId w:val="1"/>
  </w:num>
  <w:num w:numId="2" w16cid:durableId="16291183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368"/>
    <w:rsid w:val="00233337"/>
    <w:rsid w:val="00302A19"/>
    <w:rsid w:val="008D1368"/>
    <w:rsid w:val="00AC639D"/>
    <w:rsid w:val="00B21DDE"/>
    <w:rsid w:val="00D36417"/>
    <w:rsid w:val="00E82A8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1B7902"/>
  <w15:chartTrackingRefBased/>
  <w15:docId w15:val="{0344A2E7-52EF-49F6-A733-CC9ABB21AA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136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D136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D136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D136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D136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D13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13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13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13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136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D136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D136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D136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D136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D13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13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13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1368"/>
    <w:rPr>
      <w:rFonts w:eastAsiaTheme="majorEastAsia" w:cstheme="majorBidi"/>
      <w:color w:val="272727" w:themeColor="text1" w:themeTint="D8"/>
    </w:rPr>
  </w:style>
  <w:style w:type="paragraph" w:styleId="Title">
    <w:name w:val="Title"/>
    <w:basedOn w:val="Normal"/>
    <w:next w:val="Normal"/>
    <w:link w:val="TitleChar"/>
    <w:uiPriority w:val="10"/>
    <w:qFormat/>
    <w:rsid w:val="008D13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13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13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13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1368"/>
    <w:pPr>
      <w:spacing w:before="160"/>
      <w:jc w:val="center"/>
    </w:pPr>
    <w:rPr>
      <w:i/>
      <w:iCs/>
      <w:color w:val="404040" w:themeColor="text1" w:themeTint="BF"/>
    </w:rPr>
  </w:style>
  <w:style w:type="character" w:customStyle="1" w:styleId="QuoteChar">
    <w:name w:val="Quote Char"/>
    <w:basedOn w:val="DefaultParagraphFont"/>
    <w:link w:val="Quote"/>
    <w:uiPriority w:val="29"/>
    <w:rsid w:val="008D1368"/>
    <w:rPr>
      <w:i/>
      <w:iCs/>
      <w:color w:val="404040" w:themeColor="text1" w:themeTint="BF"/>
    </w:rPr>
  </w:style>
  <w:style w:type="paragraph" w:styleId="ListParagraph">
    <w:name w:val="List Paragraph"/>
    <w:basedOn w:val="Normal"/>
    <w:uiPriority w:val="34"/>
    <w:qFormat/>
    <w:rsid w:val="008D1368"/>
    <w:pPr>
      <w:ind w:left="720"/>
      <w:contextualSpacing/>
    </w:pPr>
  </w:style>
  <w:style w:type="character" w:styleId="IntenseEmphasis">
    <w:name w:val="Intense Emphasis"/>
    <w:basedOn w:val="DefaultParagraphFont"/>
    <w:uiPriority w:val="21"/>
    <w:qFormat/>
    <w:rsid w:val="008D1368"/>
    <w:rPr>
      <w:i/>
      <w:iCs/>
      <w:color w:val="2F5496" w:themeColor="accent1" w:themeShade="BF"/>
    </w:rPr>
  </w:style>
  <w:style w:type="paragraph" w:styleId="IntenseQuote">
    <w:name w:val="Intense Quote"/>
    <w:basedOn w:val="Normal"/>
    <w:next w:val="Normal"/>
    <w:link w:val="IntenseQuoteChar"/>
    <w:uiPriority w:val="30"/>
    <w:qFormat/>
    <w:rsid w:val="008D136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D1368"/>
    <w:rPr>
      <w:i/>
      <w:iCs/>
      <w:color w:val="2F5496" w:themeColor="accent1" w:themeShade="BF"/>
    </w:rPr>
  </w:style>
  <w:style w:type="character" w:styleId="IntenseReference">
    <w:name w:val="Intense Reference"/>
    <w:basedOn w:val="DefaultParagraphFont"/>
    <w:uiPriority w:val="32"/>
    <w:qFormat/>
    <w:rsid w:val="008D1368"/>
    <w:rPr>
      <w:b/>
      <w:bCs/>
      <w:smallCaps/>
      <w:color w:val="2F5496" w:themeColor="accent1" w:themeShade="BF"/>
      <w:spacing w:val="5"/>
    </w:rPr>
  </w:style>
  <w:style w:type="paragraph" w:styleId="NormalWeb">
    <w:name w:val="Normal (Web)"/>
    <w:basedOn w:val="Normal"/>
    <w:uiPriority w:val="99"/>
    <w:semiHidden/>
    <w:unhideWhenUsed/>
    <w:rsid w:val="00E82A81"/>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27</TotalTime>
  <Pages>4</Pages>
  <Words>1349</Words>
  <Characters>7695</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Suman</dc:creator>
  <cp:keywords/>
  <dc:description/>
  <cp:lastModifiedBy>Suman</cp:lastModifiedBy>
  <cp:revision>2</cp:revision>
  <dcterms:created xsi:type="dcterms:W3CDTF">2026-10-01T13:22:00Z</dcterms:created>
  <dcterms:modified xsi:type="dcterms:W3CDTF">2026-10-01T16:30:00Z</dcterms:modified>
</cp:coreProperties>
</file>