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1988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__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19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2E3192"/>
          <w:sz w:val="50"/>
        </w:rPr>
        <w:t>KODEDRISTI UI COLOR THEORY</w:t>
        <w:br/>
        <w:t>&amp; DESIGN SYSTEM</w:t>
      </w:r>
    </w:p>
    <w:p>
      <w:pPr>
        <w:jc w:val="center"/>
      </w:pPr>
      <w:r>
        <w:rPr>
          <w:color w:val="6B7280"/>
          <w:sz w:val="22"/>
        </w:rPr>
        <w:t>Light &amp; Dark Theme • Brand Colors • Typography • Buttons • Sections • Components</w:t>
      </w:r>
    </w:p>
    <w:p>
      <w:pPr>
        <w:jc w:val="center"/>
      </w:pPr>
      <w:r>
        <w:rPr>
          <w:b/>
          <w:color w:val="247A52"/>
        </w:rPr>
        <w:t>Kodedristi Software Pvt. Ltd.</w:t>
      </w:r>
    </w:p>
    <w:p>
      <w:r>
        <w:br w:type="page"/>
      </w:r>
    </w:p>
    <w:p>
      <w:pPr>
        <w:pStyle w:val="Heading1"/>
      </w:pPr>
      <w:r>
        <w:t>1. Design Philosophy</w:t>
      </w:r>
    </w:p>
    <w:p>
      <w:r>
        <w:rPr>
          <w:b/>
        </w:rPr>
        <w:t xml:space="preserve">Core principle: </w:t>
      </w:r>
      <w:r>
        <w:t>Neutral foundation + Blue authority + Green energy.</w:t>
      </w:r>
    </w:p>
    <w:p>
      <w:pPr>
        <w:pStyle w:val="ListBullet"/>
        <w:spacing w:after="40"/>
      </w:pPr>
      <w:r>
        <w:t>Blue represents technology, trust, intelligence, reliability and primary actions.</w:t>
      </w:r>
    </w:p>
    <w:p>
      <w:pPr>
        <w:pStyle w:val="ListBullet"/>
        <w:spacing w:after="40"/>
      </w:pPr>
      <w:r>
        <w:t>Green represents growth, innovation, success, progress and secondary actions.</w:t>
      </w:r>
    </w:p>
    <w:p>
      <w:pPr>
        <w:pStyle w:val="ListBullet"/>
        <w:spacing w:after="40"/>
      </w:pPr>
      <w:r>
        <w:t>Neutral colors provide readability, hierarchy and a premium software-company feel.</w:t>
      </w:r>
    </w:p>
    <w:p>
      <w:pPr>
        <w:pStyle w:val="ListBullet"/>
        <w:spacing w:after="40"/>
      </w:pPr>
      <w:r>
        <w:t>Use brand colors as accents rather than covering every surface in blue or green.</w:t>
      </w:r>
    </w:p>
    <w:p>
      <w:pPr>
        <w:pStyle w:val="ListBullet"/>
        <w:spacing w:after="40"/>
      </w:pPr>
      <w:r>
        <w:t>Maintain the original Kodedristi logo colors wherever possible.</w:t>
      </w:r>
    </w:p>
    <w:p>
      <w:pPr>
        <w:pStyle w:val="Heading1"/>
      </w:pPr>
      <w:r>
        <w:t>2. Brand Color Foundation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E3192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Kodedristi Blue</w:t>
              <w:br/>
              <w:t>#2E3192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Primary / technology</w:t>
            </w:r>
          </w:p>
        </w:tc>
        <w:tc>
          <w:tcPr>
            <w:tcW w:type="dxa" w:w="2556"/>
            <w:shd w:fill="2BB6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Kodedristi Green</w:t>
              <w:br/>
              <w:t>#2BB673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Secondary / growth</w:t>
            </w:r>
          </w:p>
        </w:tc>
        <w:tc>
          <w:tcPr>
            <w:tcW w:type="dxa" w:w="2556"/>
            <w:shd w:fill="25277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Blue Dark</w:t>
              <w:br/>
              <w:t>#25277A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Hover / active</w:t>
            </w:r>
          </w:p>
        </w:tc>
        <w:tc>
          <w:tcPr>
            <w:tcW w:type="dxa" w:w="2556"/>
            <w:shd w:fill="247A52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Green Dark</w:t>
              <w:br/>
              <w:t>#247A52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Accessible green</w:t>
            </w:r>
          </w:p>
        </w:tc>
      </w:tr>
      <w:tr>
        <w:tc>
          <w:tcPr>
            <w:tcW w:type="dxa" w:w="2556"/>
            <w:shd w:fill="EEF0F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Blue Light</w:t>
              <w:br/>
              <w:t>#EEF0FF</w:t>
            </w:r>
          </w:p>
          <w:p>
            <w:pPr>
              <w:jc w:val="center"/>
            </w:pPr>
            <w:r>
              <w:rPr>
                <w:color w:val="111827"/>
                <w:sz w:val="15"/>
              </w:rPr>
              <w:t>Soft blue surface</w:t>
            </w:r>
          </w:p>
        </w:tc>
        <w:tc>
          <w:tcPr>
            <w:tcW w:type="dxa" w:w="2556"/>
            <w:shd w:fill="E8F8F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Green Light</w:t>
              <w:br/>
              <w:t>#E8F8F0</w:t>
            </w:r>
          </w:p>
          <w:p>
            <w:pPr>
              <w:jc w:val="center"/>
            </w:pPr>
            <w:r>
              <w:rPr>
                <w:color w:val="111827"/>
                <w:sz w:val="15"/>
              </w:rPr>
              <w:t>Soft green surface</w:t>
            </w:r>
          </w:p>
        </w:tc>
        <w:tc>
          <w:tcPr>
            <w:tcW w:type="dxa" w:w="2556"/>
            <w:shd w:fill="0000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Black</w:t>
              <w:br/>
              <w:t>#000000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Logo / deep contrast</w:t>
            </w:r>
          </w:p>
        </w:tc>
        <w:tc>
          <w:tcPr>
            <w:tcW w:type="dxa" w:w="2556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White</w:t>
              <w:br/>
              <w:t>#FFFFFF</w:t>
            </w:r>
          </w:p>
          <w:p>
            <w:pPr>
              <w:jc w:val="center"/>
            </w:pPr>
            <w:r>
              <w:rPr>
                <w:color w:val="111827"/>
                <w:sz w:val="15"/>
              </w:rPr>
              <w:t>Light surfaces</w:t>
            </w:r>
          </w:p>
        </w:tc>
      </w:tr>
    </w:tbl>
    <w:p>
      <w:r>
        <w:t>Recommended role split: approximately 60% neutral surfaces, 25% blue brand usage and 15% green brand usage.</w:t>
      </w:r>
    </w:p>
    <w:p>
      <w:pPr>
        <w:pStyle w:val="Heading1"/>
      </w:pPr>
      <w:r>
        <w:t>3. Light Theme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Background</w:t>
              <w:br/>
              <w:t>#FFFFFF</w:t>
            </w:r>
          </w:p>
          <w:p>
            <w:pPr>
              <w:jc w:val="center"/>
            </w:pPr>
            <w:r>
              <w:rPr>
                <w:color w:val="111827"/>
                <w:sz w:val="15"/>
              </w:rPr>
              <w:t>Main page</w:t>
            </w:r>
          </w:p>
        </w:tc>
        <w:tc>
          <w:tcPr>
            <w:tcW w:type="dxa" w:w="2556"/>
            <w:shd w:fill="F7FAF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Secondary BG</w:t>
              <w:br/>
              <w:t>#F7FAF9</w:t>
            </w:r>
          </w:p>
          <w:p>
            <w:pPr>
              <w:jc w:val="center"/>
            </w:pPr>
            <w:r>
              <w:rPr>
                <w:color w:val="111827"/>
                <w:sz w:val="15"/>
              </w:rPr>
              <w:t>Alternating sections</w:t>
            </w:r>
          </w:p>
        </w:tc>
        <w:tc>
          <w:tcPr>
            <w:tcW w:type="dxa" w:w="2556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Surface</w:t>
              <w:br/>
              <w:t>#FFFFFF</w:t>
            </w:r>
          </w:p>
          <w:p>
            <w:pPr>
              <w:jc w:val="center"/>
            </w:pPr>
            <w:r>
              <w:rPr>
                <w:color w:val="111827"/>
                <w:sz w:val="15"/>
              </w:rPr>
              <w:t>Cards / panels</w:t>
            </w:r>
          </w:p>
        </w:tc>
        <w:tc>
          <w:tcPr>
            <w:tcW w:type="dxa" w:w="2556"/>
            <w:shd w:fill="2E3192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</w:t>
              <w:br/>
              <w:t>#2E3192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Primary CTA</w:t>
            </w:r>
          </w:p>
        </w:tc>
      </w:tr>
      <w:tr>
        <w:tc>
          <w:tcPr>
            <w:tcW w:type="dxa" w:w="2556"/>
            <w:shd w:fill="25277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Hover</w:t>
              <w:br/>
              <w:t>#25277A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Hover / active</w:t>
            </w:r>
          </w:p>
        </w:tc>
        <w:tc>
          <w:tcPr>
            <w:tcW w:type="dxa" w:w="2556"/>
            <w:shd w:fill="2BB6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Secondary</w:t>
              <w:br/>
              <w:t>#2BB673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Secondary CTA</w:t>
            </w:r>
          </w:p>
        </w:tc>
        <w:tc>
          <w:tcPr>
            <w:tcW w:type="dxa" w:w="2556"/>
            <w:shd w:fill="247A52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Secondary Hover</w:t>
              <w:br/>
              <w:t>#247A52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Hover / active</w:t>
            </w:r>
          </w:p>
        </w:tc>
        <w:tc>
          <w:tcPr>
            <w:tcW w:type="dxa" w:w="2556"/>
            <w:shd w:fill="11182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Heading</w:t>
              <w:br/>
              <w:t>#111827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H1–H3</w:t>
            </w:r>
          </w:p>
        </w:tc>
      </w:tr>
      <w:tr>
        <w:tc>
          <w:tcPr>
            <w:tcW w:type="dxa" w:w="2556"/>
            <w:shd w:fill="374151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Body</w:t>
              <w:br/>
              <w:t>#374151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Paragraphs</w:t>
            </w:r>
          </w:p>
        </w:tc>
        <w:tc>
          <w:tcPr>
            <w:tcW w:type="dxa" w:w="2556"/>
            <w:shd w:fill="6B728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Muted</w:t>
              <w:br/>
              <w:t>#6B7280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Secondary text</w:t>
            </w:r>
          </w:p>
        </w:tc>
        <w:tc>
          <w:tcPr>
            <w:tcW w:type="dxa" w:w="2556"/>
            <w:shd w:fill="E5E7EB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Border</w:t>
              <w:br/>
              <w:t>#E5E7EB</w:t>
            </w:r>
          </w:p>
          <w:p>
            <w:pPr>
              <w:jc w:val="center"/>
            </w:pPr>
            <w:r>
              <w:rPr>
                <w:color w:val="111827"/>
                <w:sz w:val="15"/>
              </w:rPr>
              <w:t>Dividers / inputs</w:t>
            </w:r>
          </w:p>
        </w:tc>
        <w:tc>
          <w:tcPr>
            <w:tcW w:type="dxa" w:w="2556"/>
          </w:tcPr>
          <w:p/>
        </w:tc>
      </w:tr>
    </w:tbl>
    <w:p>
      <w:pPr>
        <w:pStyle w:val="Heading1"/>
      </w:pPr>
      <w:r>
        <w:t>4. Dark Theme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80B1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Background</w:t>
              <w:br/>
              <w:t>#080B14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Main page</w:t>
            </w:r>
          </w:p>
        </w:tc>
        <w:tc>
          <w:tcPr>
            <w:tcW w:type="dxa" w:w="2556"/>
            <w:shd w:fill="0D122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Secondary BG</w:t>
              <w:br/>
              <w:t>#0D1220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Alternating sections</w:t>
            </w:r>
          </w:p>
        </w:tc>
        <w:tc>
          <w:tcPr>
            <w:tcW w:type="dxa" w:w="2556"/>
            <w:shd w:fill="11182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Surface</w:t>
              <w:br/>
              <w:t>#111827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Cards / panels</w:t>
            </w:r>
          </w:p>
        </w:tc>
        <w:tc>
          <w:tcPr>
            <w:tcW w:type="dxa" w:w="2556"/>
            <w:shd w:fill="17203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Elevated</w:t>
              <w:br/>
              <w:t>#172033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Elevated cards</w:t>
            </w:r>
          </w:p>
        </w:tc>
      </w:tr>
      <w:tr>
        <w:tc>
          <w:tcPr>
            <w:tcW w:type="dxa" w:w="2556"/>
            <w:shd w:fill="3A3DB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</w:t>
              <w:br/>
              <w:t>#3A3DB0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Primary CTA</w:t>
            </w:r>
          </w:p>
        </w:tc>
        <w:tc>
          <w:tcPr>
            <w:tcW w:type="dxa" w:w="2556"/>
            <w:shd w:fill="4A4DC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Hover</w:t>
              <w:br/>
              <w:t>#4A4DC4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Hover / active</w:t>
            </w:r>
          </w:p>
        </w:tc>
        <w:tc>
          <w:tcPr>
            <w:tcW w:type="dxa" w:w="2556"/>
            <w:shd w:fill="2BB6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Secondary</w:t>
              <w:br/>
              <w:t>#2BB673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Secondary CTA</w:t>
            </w:r>
          </w:p>
        </w:tc>
        <w:tc>
          <w:tcPr>
            <w:tcW w:type="dxa" w:w="2556"/>
            <w:shd w:fill="36C985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Secondary Hover</w:t>
              <w:br/>
              <w:t>#36C985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Hover / active</w:t>
            </w:r>
          </w:p>
        </w:tc>
      </w:tr>
      <w:tr>
        <w:tc>
          <w:tcPr>
            <w:tcW w:type="dxa" w:w="2556"/>
            <w:shd w:fill="F9FAFB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Heading</w:t>
              <w:br/>
              <w:t>#F9FAFB</w:t>
            </w:r>
          </w:p>
          <w:p>
            <w:pPr>
              <w:jc w:val="center"/>
            </w:pPr>
            <w:r>
              <w:rPr>
                <w:color w:val="111827"/>
                <w:sz w:val="15"/>
              </w:rPr>
              <w:t>H1–H3</w:t>
            </w:r>
          </w:p>
        </w:tc>
        <w:tc>
          <w:tcPr>
            <w:tcW w:type="dxa" w:w="2556"/>
            <w:shd w:fill="D1D5DB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11827"/>
                <w:sz w:val="18"/>
              </w:rPr>
              <w:t>Body</w:t>
              <w:br/>
              <w:t>#D1D5DB</w:t>
            </w:r>
          </w:p>
          <w:p>
            <w:pPr>
              <w:jc w:val="center"/>
            </w:pPr>
            <w:r>
              <w:rPr>
                <w:color w:val="111827"/>
                <w:sz w:val="15"/>
              </w:rPr>
              <w:t>Paragraphs</w:t>
            </w:r>
          </w:p>
        </w:tc>
        <w:tc>
          <w:tcPr>
            <w:tcW w:type="dxa" w:w="2556"/>
            <w:shd w:fill="9CA3A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Muted</w:t>
              <w:br/>
              <w:t>#9CA3AF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Secondary text</w:t>
            </w:r>
          </w:p>
        </w:tc>
        <w:tc>
          <w:tcPr>
            <w:tcW w:type="dxa" w:w="2556"/>
            <w:shd w:fill="27324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Border</w:t>
              <w:br/>
              <w:t>#273244</w:t>
            </w:r>
          </w:p>
          <w:p>
            <w:pPr>
              <w:jc w:val="center"/>
            </w:pPr>
            <w:r>
              <w:rPr>
                <w:color w:val="FFFFFF"/>
                <w:sz w:val="15"/>
              </w:rPr>
              <w:t>Dividers / inputs</w:t>
            </w:r>
          </w:p>
        </w:tc>
      </w:tr>
    </w:tbl>
    <w:p>
      <w:pPr>
        <w:pStyle w:val="Heading1"/>
      </w:pPr>
      <w:r>
        <w:t>5. Light vs Dark Token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E319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408"/>
            <w:vAlign w:val="center"/>
            <w:shd w:fill="2E319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Light</w:t>
            </w:r>
          </w:p>
        </w:tc>
        <w:tc>
          <w:tcPr>
            <w:tcW w:type="dxa" w:w="3408"/>
            <w:vAlign w:val="center"/>
            <w:shd w:fill="2E319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Dark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11827"/>
                <w:sz w:val="18"/>
              </w:rPr>
              <w:t>background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#FFFFFF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#080B14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11827"/>
                <w:sz w:val="18"/>
              </w:rPr>
              <w:t>background-secondary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#F7FAF9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#0D1220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11827"/>
                <w:sz w:val="18"/>
              </w:rPr>
              <w:t>surface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#FFFFFF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#111827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11827"/>
                <w:sz w:val="18"/>
              </w:rPr>
              <w:t>surface-elevated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#FFFFFF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#172033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11827"/>
                <w:sz w:val="18"/>
              </w:rPr>
              <w:t>primary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#2E3192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#3A3DB0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11827"/>
                <w:sz w:val="18"/>
              </w:rPr>
              <w:t>primary-hover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#25277A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#4A4DC4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11827"/>
                <w:sz w:val="18"/>
              </w:rPr>
              <w:t>secondary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#2BB673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#2BB673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11827"/>
                <w:sz w:val="18"/>
              </w:rPr>
              <w:t>secondary-hover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#247A52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#36C985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11827"/>
                <w:sz w:val="18"/>
              </w:rPr>
              <w:t>text-primary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#111827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#F9FAFB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11827"/>
                <w:sz w:val="18"/>
              </w:rPr>
              <w:t>text-secondary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#374151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#D1D5DB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11827"/>
                <w:sz w:val="18"/>
              </w:rPr>
              <w:t>text-muted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#6B7280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#9CA3AF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color w:val="111827"/>
                <w:sz w:val="18"/>
              </w:rPr>
              <w:t>border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#E5E7EB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#273244</w:t>
            </w:r>
          </w:p>
        </w:tc>
      </w:tr>
    </w:tbl>
    <w:p>
      <w:pPr>
        <w:pStyle w:val="Heading1"/>
      </w:pPr>
      <w:r>
        <w:t>6. Button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2E319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45"/>
            <w:vAlign w:val="center"/>
            <w:shd w:fill="2E319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Background</w:t>
            </w:r>
          </w:p>
        </w:tc>
        <w:tc>
          <w:tcPr>
            <w:tcW w:type="dxa" w:w="2045"/>
            <w:vAlign w:val="center"/>
            <w:shd w:fill="2E319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Text</w:t>
            </w:r>
          </w:p>
        </w:tc>
        <w:tc>
          <w:tcPr>
            <w:tcW w:type="dxa" w:w="2045"/>
            <w:vAlign w:val="center"/>
            <w:shd w:fill="2E319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Hover</w:t>
            </w:r>
          </w:p>
        </w:tc>
        <w:tc>
          <w:tcPr>
            <w:tcW w:type="dxa" w:w="2045"/>
            <w:vAlign w:val="center"/>
            <w:shd w:fill="2E319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Use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Primary</w:t>
            </w:r>
          </w:p>
        </w:tc>
        <w:tc>
          <w:tcPr>
            <w:tcW w:type="dxa" w:w="2045"/>
            <w:vAlign w:val="center"/>
            <w:shd w:fill="2E3192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#2E3192</w:t>
            </w:r>
          </w:p>
        </w:tc>
        <w:tc>
          <w:tcPr>
            <w:tcW w:type="dxa" w:w="2045"/>
            <w:vAlign w:val="center"/>
            <w:shd w:fill="2E3192"/>
          </w:tcPr>
          <w:p>
            <w:r/>
            <w:r>
              <w:rPr>
                <w:rFonts w:ascii="Aptos" w:hAnsi="Aptos"/>
                <w:b w:val="0"/>
                <w:color w:val="2E3192"/>
                <w:sz w:val="18"/>
              </w:rPr>
              <w:t>#FFFFFF</w:t>
            </w:r>
          </w:p>
        </w:tc>
        <w:tc>
          <w:tcPr>
            <w:tcW w:type="dxa" w:w="2045"/>
            <w:vAlign w:val="center"/>
            <w:shd w:fill="25277A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#25277A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Main conversion / CTA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Secondary</w:t>
            </w:r>
          </w:p>
        </w:tc>
        <w:tc>
          <w:tcPr>
            <w:tcW w:type="dxa" w:w="2045"/>
            <w:vAlign w:val="center"/>
            <w:shd w:fill="2BB673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#2BB673</w:t>
            </w:r>
          </w:p>
        </w:tc>
        <w:tc>
          <w:tcPr>
            <w:tcW w:type="dxa" w:w="2045"/>
            <w:vAlign w:val="center"/>
            <w:shd w:fill="2BB673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#07130D</w:t>
            </w:r>
          </w:p>
        </w:tc>
        <w:tc>
          <w:tcPr>
            <w:tcW w:type="dxa" w:w="2045"/>
            <w:vAlign w:val="center"/>
            <w:shd w:fill="247A52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#36C985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Growth / positive action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Outline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Transparent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color w:val="2E3192"/>
                <w:sz w:val="18"/>
              </w:rPr>
              <w:t>#2E3192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#EEF0FF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Alternative action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Ghost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Transparent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color w:val="2E3192"/>
                <w:sz w:val="18"/>
              </w:rPr>
              <w:t>#2E3192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#EEF0FF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Low emphasis</w:t>
            </w:r>
          </w:p>
        </w:tc>
      </w:tr>
    </w:tbl>
    <w:p>
      <w:r>
        <w:rPr>
          <w:b/>
        </w:rPr>
        <w:t xml:space="preserve">Accessibility note: </w:t>
      </w:r>
      <w:r>
        <w:t>Do not use white text directly on #2BB673 for important buttons. Prefer dark text on the brand green, or use #247A52 with white text.</w:t>
      </w:r>
    </w:p>
    <w:p>
      <w:pPr>
        <w:pStyle w:val="Heading1"/>
      </w:pPr>
      <w:r>
        <w:t>7. Typography &amp; Text Hierarchy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2E319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2556"/>
            <w:vAlign w:val="center"/>
            <w:shd w:fill="2E319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Light</w:t>
            </w:r>
          </w:p>
        </w:tc>
        <w:tc>
          <w:tcPr>
            <w:tcW w:type="dxa" w:w="2556"/>
            <w:vAlign w:val="center"/>
            <w:shd w:fill="2E319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Dark</w:t>
            </w:r>
          </w:p>
        </w:tc>
        <w:tc>
          <w:tcPr>
            <w:tcW w:type="dxa" w:w="2556"/>
            <w:vAlign w:val="center"/>
            <w:shd w:fill="2E319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Recommended Role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H1 / H2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#111827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#F9FAFB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Strong headings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H3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#1F2937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#E5E7EB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Card / subsection heading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Body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#374151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#D1D5DB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Normal content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Secondary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#6B7280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#9CA3AF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Supporting information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Links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#2E3192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#A5A8FF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Navigation / references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Success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#247A52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#36C985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Success / growth</w:t>
            </w:r>
          </w:p>
        </w:tc>
      </w:tr>
    </w:tbl>
    <w:p>
      <w:pPr>
        <w:pStyle w:val="Heading1"/>
      </w:pPr>
      <w:r>
        <w:t>8. Website Section Color Rhythm</w:t>
      </w:r>
    </w:p>
    <w:p>
      <w:pPr>
        <w:pStyle w:val="ListBullet"/>
        <w:spacing w:after="40"/>
      </w:pPr>
      <w:r>
        <w:t>Navbar: #FFFFFF in light mode / #080B14 in dark mode.</w:t>
      </w:r>
    </w:p>
    <w:p>
      <w:pPr>
        <w:pStyle w:val="ListBullet"/>
        <w:spacing w:after="40"/>
      </w:pPr>
      <w:r>
        <w:t>Hero: #F7FAF9 in light mode / #080B14 with subtle blue-green glow in dark mode.</w:t>
      </w:r>
    </w:p>
    <w:p>
      <w:pPr>
        <w:pStyle w:val="ListBullet"/>
        <w:spacing w:after="40"/>
      </w:pPr>
      <w:r>
        <w:t>Services: White / surface.</w:t>
      </w:r>
    </w:p>
    <w:p>
      <w:pPr>
        <w:pStyle w:val="ListBullet"/>
        <w:spacing w:after="40"/>
      </w:pPr>
      <w:r>
        <w:t>Technology &amp; Products: #F7FAF9 / #0D1220.</w:t>
      </w:r>
    </w:p>
    <w:p>
      <w:pPr>
        <w:pStyle w:val="ListBullet"/>
        <w:spacing w:after="40"/>
      </w:pPr>
      <w:r>
        <w:t>About: White / surface.</w:t>
      </w:r>
    </w:p>
    <w:p>
      <w:pPr>
        <w:pStyle w:val="ListBullet"/>
        <w:spacing w:after="40"/>
      </w:pPr>
      <w:r>
        <w:t>Why Kodedristi: #F7FAF9 / #0D1220.</w:t>
      </w:r>
    </w:p>
    <w:p>
      <w:pPr>
        <w:pStyle w:val="ListBullet"/>
        <w:spacing w:after="40"/>
      </w:pPr>
      <w:r>
        <w:t>Projects: White / surface.</w:t>
      </w:r>
    </w:p>
    <w:p>
      <w:pPr>
        <w:pStyle w:val="ListBullet"/>
        <w:spacing w:after="40"/>
      </w:pPr>
      <w:r>
        <w:t>CTA: strong blue or controlled blue-to-green gradient.</w:t>
      </w:r>
    </w:p>
    <w:p>
      <w:pPr>
        <w:pStyle w:val="ListBullet"/>
        <w:spacing w:after="40"/>
      </w:pPr>
      <w:r>
        <w:t>Footer: deep neutral such as #111827 or #080B14.</w:t>
      </w:r>
    </w:p>
    <w:p>
      <w:pPr>
        <w:pStyle w:val="Heading1"/>
      </w:pPr>
      <w:r>
        <w:t>9. Recommended Page Structure</w:t>
      </w:r>
    </w:p>
    <w:p>
      <w:pPr>
        <w:ind w:left="288"/>
      </w:pPr>
      <w:r>
        <w:rPr>
          <w:rFonts w:ascii="Consolas" w:hAnsi="Consolas"/>
          <w:color w:val="111827"/>
          <w:sz w:val="17"/>
        </w:rPr>
        <w:t>NAVBAR</w:t>
        <w:br/>
        <w:t xml:space="preserve">  ↓</w:t>
        <w:br/>
        <w:t>HERO</w:t>
        <w:br/>
        <w:t xml:space="preserve">  ↓</w:t>
        <w:br/>
        <w:t>SERVICES</w:t>
        <w:br/>
        <w:t xml:space="preserve">  ↓</w:t>
        <w:br/>
        <w:t>TECHNOLOGY / PRODUCTS</w:t>
        <w:br/>
        <w:t xml:space="preserve">  ↓</w:t>
        <w:br/>
        <w:t>ABOUT</w:t>
        <w:br/>
        <w:t xml:space="preserve">  ↓</w:t>
        <w:br/>
        <w:t>WHY KODEDRISTI</w:t>
        <w:br/>
        <w:t xml:space="preserve">  ↓</w:t>
        <w:br/>
        <w:t>PROJECTS / CASE STUDIES</w:t>
        <w:br/>
        <w:t xml:space="preserve">  ↓</w:t>
        <w:br/>
        <w:t>CTA</w:t>
        <w:br/>
        <w:t xml:space="preserve">  ↓</w:t>
        <w:br/>
        <w:t>FOOTER</w:t>
      </w:r>
    </w:p>
    <w:p>
      <w:pPr>
        <w:pStyle w:val="Heading1"/>
      </w:pPr>
      <w:r>
        <w:t>10. Cards &amp; Components</w:t>
      </w:r>
    </w:p>
    <w:p>
      <w:pPr>
        <w:pStyle w:val="ListBullet"/>
        <w:spacing w:after="40"/>
      </w:pPr>
      <w:r>
        <w:t>Light card: white surface, #E5E7EB border, 16px radius and subtle shadow.</w:t>
      </w:r>
    </w:p>
    <w:p>
      <w:pPr>
        <w:pStyle w:val="ListBullet"/>
        <w:spacing w:after="40"/>
      </w:pPr>
      <w:r>
        <w:t>Dark card: #111827 surface, #273244 border; use #172033 for elevated cards.</w:t>
      </w:r>
    </w:p>
    <w:p>
      <w:pPr>
        <w:pStyle w:val="ListBullet"/>
        <w:spacing w:after="40"/>
      </w:pPr>
      <w:r>
        <w:t>Technology card icon: #EEF0FF background with #2E3192 icon.</w:t>
      </w:r>
    </w:p>
    <w:p>
      <w:pPr>
        <w:pStyle w:val="ListBullet"/>
        <w:spacing w:after="40"/>
      </w:pPr>
      <w:r>
        <w:t>Growth/success card icon: #E8F8F0 background with #247A52 icon.</w:t>
      </w:r>
    </w:p>
    <w:p>
      <w:pPr>
        <w:pStyle w:val="ListBullet"/>
        <w:spacing w:after="40"/>
      </w:pPr>
      <w:r>
        <w:t>Hover state: subtle elevation and a blue or green border depending on the card meaning.</w:t>
      </w:r>
    </w:p>
    <w:p>
      <w:pPr>
        <w:pStyle w:val="ListBullet"/>
        <w:spacing w:after="40"/>
      </w:pPr>
      <w:r>
        <w:t>Inputs: white surface in light mode; #111827 in dark mode; blue focus ring.</w:t>
      </w:r>
    </w:p>
    <w:p>
      <w:pPr>
        <w:pStyle w:val="Heading1"/>
      </w:pPr>
      <w:r>
        <w:t>11. Badges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2E319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Badge</w:t>
            </w:r>
          </w:p>
        </w:tc>
        <w:tc>
          <w:tcPr>
            <w:tcW w:type="dxa" w:w="2556"/>
            <w:vAlign w:val="center"/>
            <w:shd w:fill="2E319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Background</w:t>
            </w:r>
          </w:p>
        </w:tc>
        <w:tc>
          <w:tcPr>
            <w:tcW w:type="dxa" w:w="2556"/>
            <w:vAlign w:val="center"/>
            <w:shd w:fill="2E319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Text</w:t>
            </w:r>
          </w:p>
        </w:tc>
        <w:tc>
          <w:tcPr>
            <w:tcW w:type="dxa" w:w="2556"/>
            <w:vAlign w:val="center"/>
            <w:shd w:fill="2E319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Primary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#EEF0FF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#2E3192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Technology / category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Success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#E8F8F0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#247A52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Completed / success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Dark Blue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#171A3D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#A5A8FF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Dark theme technology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Dark Green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#0D2A20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#36C985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color w:val="111827"/>
                <w:sz w:val="18"/>
              </w:rPr>
              <w:t>Dark theme success</w:t>
            </w:r>
          </w:p>
        </w:tc>
      </w:tr>
    </w:tbl>
    <w:p>
      <w:pPr>
        <w:pStyle w:val="Heading1"/>
      </w:pPr>
      <w:r>
        <w:t>12. Brand Gradient</w:t>
      </w:r>
    </w:p>
    <w:p>
      <w:r>
        <w:rPr>
          <w:b/>
        </w:rPr>
        <w:t xml:space="preserve">Recommended gradient: </w:t>
      </w:r>
      <w:r>
        <w:t>#2E3192 → #2BB673</w:t>
      </w:r>
    </w:p>
    <w:p>
      <w:pPr>
        <w:ind w:left="288"/>
      </w:pPr>
      <w:r>
        <w:rPr>
          <w:rFonts w:ascii="Consolas" w:hAnsi="Consolas"/>
          <w:color w:val="111827"/>
          <w:sz w:val="17"/>
        </w:rPr>
        <w:t>background: linear-gradient(135deg, #2E3192 0%, #2BB673 100%);</w:t>
      </w:r>
    </w:p>
    <w:p>
      <w:r>
        <w:t>Use the gradient sparingly for hero accents, CTA sections, product highlights and decorative elements. Do not use it on every component.</w:t>
      </w:r>
    </w:p>
    <w:p>
      <w:pPr>
        <w:pStyle w:val="Heading1"/>
      </w:pPr>
      <w:r>
        <w:t>13. Dark Theme Hero Treatment</w:t>
      </w:r>
    </w:p>
    <w:p>
      <w:pPr>
        <w:ind w:left="288"/>
      </w:pPr>
      <w:r>
        <w:rPr>
          <w:rFonts w:ascii="Consolas" w:hAnsi="Consolas"/>
          <w:color w:val="111827"/>
          <w:sz w:val="17"/>
        </w:rPr>
        <w:t>background:</w:t>
        <w:br/>
        <w:t xml:space="preserve">  radial-gradient(circle at 20% 30%, rgba(46,49,146,.20), transparent 35%),</w:t>
        <w:br/>
        <w:t xml:space="preserve">  radial-gradient(circle at 80% 70%, rgba(43,182,115,.15), transparent 35%),</w:t>
        <w:br/>
        <w:t xml:space="preserve">  #080B14;</w:t>
      </w:r>
    </w:p>
    <w:p>
      <w:pPr>
        <w:pStyle w:val="Heading1"/>
      </w:pPr>
      <w:r>
        <w:t>14. Logo Usage</w:t>
      </w:r>
    </w:p>
    <w:p>
      <w:r>
        <w:drawing>
          <wp:inline xmlns:a="http://schemas.openxmlformats.org/drawingml/2006/main" xmlns:pic="http://schemas.openxmlformats.org/drawingml/2006/picture">
            <wp:extent cx="2286000" cy="2284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__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t>Keep the supplied Kodedristi logo colors intact for standard brand usage.</w:t>
      </w:r>
    </w:p>
    <w:p>
      <w:pPr>
        <w:pStyle w:val="ListBullet"/>
        <w:spacing w:after="40"/>
      </w:pPr>
      <w:r>
        <w:t>Use the logo on white, #F7FAF9 and deep dark backgrounds where contrast is sufficient.</w:t>
      </w:r>
    </w:p>
    <w:p>
      <w:pPr>
        <w:pStyle w:val="ListBullet"/>
        <w:spacing w:after="40"/>
      </w:pPr>
      <w:r>
        <w:t>Do not recolor the logo for individual website sections.</w:t>
      </w:r>
    </w:p>
    <w:p>
      <w:pPr>
        <w:pStyle w:val="ListBullet"/>
        <w:spacing w:after="40"/>
      </w:pPr>
      <w:r>
        <w:t>For very dark surfaces where black logo elements lose separation, prepare a dedicated white-wordmark variant.</w:t>
      </w:r>
    </w:p>
    <w:p>
      <w:pPr>
        <w:pStyle w:val="Heading1"/>
      </w:pPr>
      <w:r>
        <w:t>15. Developer Design Tokens</w:t>
      </w:r>
    </w:p>
    <w:p>
      <w:pPr>
        <w:ind w:left="288"/>
      </w:pPr>
      <w:r>
        <w:rPr>
          <w:rFonts w:ascii="Consolas" w:hAnsi="Consolas"/>
          <w:color w:val="111827"/>
          <w:sz w:val="17"/>
        </w:rPr>
        <w:t>:root {</w:t>
        <w:br/>
        <w:t xml:space="preserve">  --brand-blue: #2E3192;</w:t>
        <w:br/>
        <w:t xml:space="preserve">  --brand-blue-hover: #25277A;</w:t>
        <w:br/>
        <w:t xml:space="preserve">  --brand-blue-light: #EEF0FF;</w:t>
        <w:br/>
        <w:t xml:space="preserve">  --brand-green: #2BB673;</w:t>
        <w:br/>
        <w:t xml:space="preserve">  --brand-green-hover: #247A52;</w:t>
        <w:br/>
        <w:t xml:space="preserve">  --brand-green-light: #E8F8F0;</w:t>
        <w:br/>
        <w:t xml:space="preserve">  --background: #FFFFFF;</w:t>
        <w:br/>
        <w:t xml:space="preserve">  --background-secondary: #F7FAF9;</w:t>
        <w:br/>
        <w:t xml:space="preserve">  --surface: #FFFFFF;</w:t>
        <w:br/>
        <w:t xml:space="preserve">  --text-primary: #111827;</w:t>
        <w:br/>
        <w:t xml:space="preserve">  --text-secondary: #374151;</w:t>
        <w:br/>
        <w:t xml:space="preserve">  --text-muted: #6B7280;</w:t>
        <w:br/>
        <w:t xml:space="preserve">  --border: #E5E7EB;</w:t>
        <w:br/>
        <w:t>}</w:t>
        <w:br/>
        <w:br/>
        <w:t>.dark {</w:t>
        <w:br/>
        <w:t xml:space="preserve">  --brand-blue: #3A3DB0;</w:t>
        <w:br/>
        <w:t xml:space="preserve">  --brand-blue-hover: #4A4DC4;</w:t>
        <w:br/>
        <w:t xml:space="preserve">  --brand-green: #2BB673;</w:t>
        <w:br/>
        <w:t xml:space="preserve">  --brand-green-hover: #36C985;</w:t>
        <w:br/>
        <w:t xml:space="preserve">  --background: #080B14;</w:t>
        <w:br/>
        <w:t xml:space="preserve">  --background-secondary: #0D1220;</w:t>
        <w:br/>
        <w:t xml:space="preserve">  --surface: #111827;</w:t>
        <w:br/>
        <w:t xml:space="preserve">  --text-primary: #F9FAFB;</w:t>
        <w:br/>
        <w:t xml:space="preserve">  --text-secondary: #D1D5DB;</w:t>
        <w:br/>
        <w:t xml:space="preserve">  --text-muted: #9CA3AF;</w:t>
        <w:br/>
        <w:t xml:space="preserve">  --border: #273244;</w:t>
        <w:br/>
        <w:t>}</w:t>
      </w:r>
    </w:p>
    <w:p>
      <w:pPr>
        <w:pStyle w:val="Heading1"/>
      </w:pPr>
      <w:r>
        <w:t>16. Final Kodedristi UI Rules</w:t>
      </w:r>
    </w:p>
    <w:p>
      <w:r>
        <w:rPr>
          <w:b/>
        </w:rPr>
        <w:t xml:space="preserve">1. </w:t>
      </w:r>
      <w:r>
        <w:t>Blue = technology, trust and primary action.</w:t>
      </w:r>
    </w:p>
    <w:p>
      <w:r>
        <w:rPr>
          <w:b/>
        </w:rPr>
        <w:t xml:space="preserve">2. </w:t>
      </w:r>
      <w:r>
        <w:t>Green = growth, innovation, success and secondary action.</w:t>
      </w:r>
    </w:p>
    <w:p>
      <w:r>
        <w:rPr>
          <w:b/>
        </w:rPr>
        <w:t xml:space="preserve">3. </w:t>
      </w:r>
      <w:r>
        <w:t>Neutrals should dominate the interface.</w:t>
      </w:r>
    </w:p>
    <w:p>
      <w:r>
        <w:rPr>
          <w:b/>
        </w:rPr>
        <w:t xml:space="preserve">4. </w:t>
      </w:r>
      <w:r>
        <w:t>Use one strong primary CTA per major section.</w:t>
      </w:r>
    </w:p>
    <w:p>
      <w:r>
        <w:rPr>
          <w:b/>
        </w:rPr>
        <w:t xml:space="preserve">5. </w:t>
      </w:r>
      <w:r>
        <w:t>Avoid using blue and green equally across the page.</w:t>
      </w:r>
    </w:p>
    <w:p>
      <w:r>
        <w:rPr>
          <w:b/>
        </w:rPr>
        <w:t xml:space="preserve">6. </w:t>
      </w:r>
      <w:r>
        <w:t>Maintain strong text contrast and accessible focus states.</w:t>
      </w:r>
    </w:p>
    <w:p>
      <w:r>
        <w:rPr>
          <w:b/>
        </w:rPr>
        <w:t xml:space="preserve">7. </w:t>
      </w:r>
      <w:r>
        <w:t>Use the blue-green gradient only as a premium accent.</w:t>
      </w:r>
    </w:p>
    <w:p>
      <w:r>
        <w:rPr>
          <w:b/>
        </w:rPr>
        <w:t xml:space="preserve">8. </w:t>
      </w:r>
      <w:r>
        <w:t>Keep spacing, border radius and component behavior consistent across products.</w:t>
      </w:r>
    </w:p>
    <w:p>
      <w:r>
        <w:rPr>
          <w:b/>
        </w:rPr>
        <w:t xml:space="preserve">9. </w:t>
      </w:r>
      <w:r>
        <w:t>Use the same tokens across corporate websites, SaaS dashboards, admin panels and mobile applications.</w:t>
      </w:r>
    </w:p>
    <w:p>
      <w:pPr>
        <w:spacing w:before="360"/>
        <w:jc w:val="center"/>
      </w:pPr>
      <w:r>
        <w:rPr>
          <w:b/>
          <w:color w:val="2E3192"/>
        </w:rPr>
        <w:t>Kodedristi Software Pvt. Ltd. • UI Color &amp; Design System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319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7A5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E319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