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B62"/>
          <w:sz w:val="20"/>
        </w:rPr>
        <w:t>SAP CPI  ·  Documentación de iFlow</w:t>
      </w:r>
    </w:p>
    <w:p>
      <w:pPr>
        <w:pStyle w:val="Heading1"/>
        <w:jc w:val="center"/>
      </w:pPr>
      <w:r>
        <w:t>com.biogenesisbago.s4hana.afip.wsfe.checkelectronicinvoiceconnection</w:t>
      </w:r>
    </w:p>
    <w:p>
      <w:pPr>
        <w:jc w:val="center"/>
      </w:pPr>
      <w:r>
        <w:rPr>
          <w:color w:val="888888"/>
          <w:sz w:val="18"/>
        </w:rPr>
        <w:t>Generado: 21/03/2026 17:38    Repo: cdrrodriguez/CPI-iflows-ejemplos</w:t>
      </w:r>
    </w:p>
    <w:p>
      <w:pPr>
        <w:pBdr>
          <w:bottom w:val="single" w:sz="4" w:space="1" w:color="003B62"/>
        </w:pBdr>
      </w:pPr>
    </w:p>
    <w:p/>
    <w:p>
      <w:pPr>
        <w:pStyle w:val="Heading1"/>
      </w:pPr>
      <w:r>
        <w:t>Documentación Técnica - iFlow Check Electronic Invoice Connection</w:t>
      </w:r>
    </w:p>
    <w:p>
      <w:pPr>
        <w:pStyle w:val="Heading2"/>
      </w:pPr>
      <w:r>
        <w:t>Resumen</w:t>
      </w:r>
    </w:p>
    <w:p>
      <w:r>
        <w:rPr>
          <w:b/>
        </w:rPr>
        <w:t>ID del iFlow:</w:t>
      </w:r>
      <w:r>
        <w:t xml:space="preserve"> </w:t>
      </w:r>
      <w:r>
        <w:rPr>
          <w:rFonts w:ascii="Courier New" w:hAnsi="Courier New"/>
          <w:sz w:val="18"/>
        </w:rPr>
        <w:t>com.biogenesisbago.s4hana.afip.wsfe.checkelectronicinvoiceconnection</w:t>
      </w:r>
    </w:p>
    <w:p>
      <w:r>
        <w:rPr>
          <w:b/>
        </w:rPr>
        <w:t>Nombre:</w:t>
      </w:r>
      <w:r>
        <w:t xml:space="preserve"> Check Electronic Invoice Connection</w:t>
      </w:r>
    </w:p>
    <w:p>
      <w:r>
        <w:rPr>
          <w:b/>
        </w:rPr>
        <w:t>Propósito:</w:t>
      </w:r>
      <w:r>
        <w:t xml:space="preserve"> Verificación de conectividad con el servicio de facturación electrónica WSFE de AFIP (Argentina).</w:t>
      </w:r>
    </w:p>
    <w:p>
      <w:r>
        <w:rPr>
          <w:b/>
        </w:rPr>
        <w:t>Sistemas Involucrados:</w:t>
      </w:r>
    </w:p>
    <w:p>
      <w:pPr>
        <w:pStyle w:val="ListBullet"/>
      </w:pPr>
      <w:r>
        <w:t>SAP S/4HANA (Sender)</w:t>
      </w:r>
    </w:p>
    <w:p>
      <w:pPr>
        <w:pStyle w:val="ListBullet"/>
      </w:pPr>
      <w:r>
        <w:t>WSFE AFIP (Receiver - Web Service de Facturación Electrónica)</w:t>
      </w:r>
    </w:p>
    <w:p>
      <w:pPr>
        <w:pStyle w:val="ListBullet"/>
      </w:pPr>
      <w:r>
        <w:t>SAP CPI (Procesamiento interno vía ProcessDirect)</w:t>
      </w:r>
    </w:p>
    <w:p>
      <w:r>
        <w:rPr>
          <w:b/>
        </w:rPr>
        <w:t>Versión del Componente:</w:t>
      </w:r>
      <w:r>
        <w:t xml:space="preserve"> 1.2</w:t>
      </w:r>
    </w:p>
    <w:p>
      <w:r>
        <w:rPr>
          <w:b/>
        </w:rPr>
        <w:t>Tamaño del Artefacto:</w:t>
      </w:r>
      <w:r>
        <w:t xml:space="preserve"> 18,993 bytes</w:t>
      </w:r>
    </w:p>
    <w:p>
      <w:r>
        <w:rPr>
          <w:b/>
        </w:rPr>
        <w:t>Total de Archivos:</w:t>
      </w:r>
      <w:r>
        <w:t xml:space="preserve"> 11</w:t>
      </w:r>
    </w:p>
    <w:p>
      <w:pPr>
        <w:pBdr>
          <w:bottom w:val="single" w:sz="4" w:space="1" w:color="CCCCCC"/>
        </w:pBdr>
      </w:pPr>
    </w:p>
    <w:p>
      <w:pPr>
        <w:pStyle w:val="Heading2"/>
      </w:pPr>
      <w:r>
        <w:t>Propósito</w:t>
      </w:r>
    </w:p>
    <w:p>
      <w:r>
        <w:t>Este iFlow implementa una operación de verificación de conectividad (health check) con el servicio WSFE (Web Services de Facturación Electrónica) de la AFIP argentina. El flujo:</w:t>
      </w:r>
    </w:p>
    <w:p>
      <w:pPr>
        <w:pStyle w:val="ListNumber"/>
      </w:pPr>
      <w:r>
        <w:t>Recibe una solicitud SOAP desde S/4HANA</w:t>
      </w:r>
    </w:p>
    <w:p>
      <w:pPr>
        <w:pStyle w:val="ListNumber"/>
      </w:pPr>
      <w:r>
        <w:t>Obtiene credenciales de autenticación (Token y Sign) mediante un subproceso local</w:t>
      </w:r>
    </w:p>
    <w:p>
      <w:pPr>
        <w:pStyle w:val="ListNumber"/>
      </w:pPr>
      <w:r>
        <w:t>Transforma el request a un mensaje Dummy de WSFE</w:t>
      </w:r>
    </w:p>
    <w:p>
      <w:pPr>
        <w:pStyle w:val="ListNumber"/>
      </w:pPr>
      <w:r>
        <w:t xml:space="preserve">Invoca el método </w:t>
      </w:r>
      <w:r>
        <w:rPr>
          <w:rFonts w:ascii="Courier New" w:hAnsi="Courier New"/>
          <w:sz w:val="18"/>
        </w:rPr>
        <w:t>FEDummy</w:t>
      </w:r>
      <w:r>
        <w:t xml:space="preserve"> del servicio WSFE</w:t>
      </w:r>
    </w:p>
    <w:p>
      <w:pPr>
        <w:pStyle w:val="ListNumber"/>
      </w:pPr>
      <w:r>
        <w:t>Transforma y retorna la respuesta a S/4HANA</w:t>
      </w:r>
    </w:p>
    <w:p>
      <w:r>
        <w:t>Este proceso permite validar la conectividad y credenciales antes de ejecutar operaciones de facturación reales.</w:t>
      </w:r>
    </w:p>
    <w:p>
      <w:pPr>
        <w:pBdr>
          <w:bottom w:val="single" w:sz="4" w:space="1" w:color="CCCCCC"/>
        </w:pBdr>
      </w:pPr>
    </w:p>
    <w:p>
      <w:pPr>
        <w:pStyle w:val="Heading2"/>
      </w:pPr>
      <w:r>
        <w:t>Flujo de Pasos</w:t>
      </w:r>
    </w:p>
    <w:p>
      <w:pPr>
        <w:pStyle w:val="Heading3"/>
      </w:pPr>
      <w:r>
        <w:t>Proceso Principal: Integration Process</w:t>
      </w:r>
    </w:p>
    <w:p>
      <w:pPr>
        <w:pStyle w:val="ListNumber"/>
      </w:pPr>
      <w:r>
        <w:rPr>
          <w:b/>
        </w:rPr>
        <w:t>Start (StartEvent_2)</w:t>
      </w:r>
    </w:p>
    <w:p>
      <w:pPr>
        <w:pStyle w:val="ListBullet"/>
      </w:pPr>
      <w:r>
        <w:t>Tipo: SOAP Sender</w:t>
      </w:r>
    </w:p>
    <w:p>
      <w:pPr>
        <w:pStyle w:val="ListBullet"/>
      </w:pPr>
      <w:r>
        <w:t xml:space="preserve">Endpoint: </w:t>
      </w:r>
      <w:r>
        <w:rPr>
          <w:rFonts w:ascii="Courier New" w:hAnsi="Courier New"/>
          <w:sz w:val="18"/>
        </w:rPr>
        <w:t>/S4HANA/AFIP/WSFE/VerificarFEConexion</w:t>
      </w:r>
    </w:p>
    <w:p>
      <w:pPr>
        <w:pStyle w:val="ListBullet"/>
      </w:pPr>
      <w:r>
        <w:t>Autenticación: Role-Based (</w:t>
      </w:r>
      <w:r>
        <w:rPr>
          <w:rFonts w:ascii="Courier New" w:hAnsi="Courier New"/>
          <w:sz w:val="18"/>
        </w:rPr>
        <w:t>ESBMessaging.send</w:t>
      </w:r>
      <w:r>
        <w:t>)</w:t>
      </w:r>
    </w:p>
    <w:p>
      <w:pPr>
        <w:pStyle w:val="ListNumber"/>
      </w:pPr>
      <w:r>
        <w:rPr>
          <w:b/>
        </w:rPr>
        <w:t>Store Original Payload (CallActivity_5)</w:t>
      </w:r>
    </w:p>
    <w:p>
      <w:pPr>
        <w:pStyle w:val="ListBullet"/>
      </w:pPr>
      <w:r>
        <w:t>Tipo: Content Enricher</w:t>
      </w:r>
    </w:p>
    <w:p>
      <w:pPr>
        <w:pStyle w:val="ListBullet"/>
      </w:pPr>
      <w:r>
        <w:t xml:space="preserve">Acción: Almacena el payload original en propiedad </w:t>
      </w:r>
      <w:r>
        <w:rPr>
          <w:rFonts w:ascii="Courier New" w:hAnsi="Courier New"/>
          <w:sz w:val="18"/>
        </w:rPr>
        <w:t>OriginalPayload</w:t>
      </w:r>
    </w:p>
    <w:p>
      <w:pPr>
        <w:pStyle w:val="ListBullet"/>
      </w:pPr>
      <w:r>
        <w:t xml:space="preserve">Expresión: </w:t>
      </w:r>
      <w:r>
        <w:rPr>
          <w:rFonts w:ascii="Courier New" w:hAnsi="Courier New"/>
          <w:sz w:val="18"/>
        </w:rPr>
        <w:t>${in.body}</w:t>
      </w:r>
    </w:p>
    <w:p>
      <w:pPr>
        <w:pStyle w:val="ListNumber"/>
      </w:pPr>
      <w:r>
        <w:rPr>
          <w:b/>
        </w:rPr>
        <w:t>Query Sign / Token (CallActivity_9)</w:t>
      </w:r>
    </w:p>
    <w:p>
      <w:pPr>
        <w:pStyle w:val="ListBullet"/>
      </w:pPr>
      <w:r>
        <w:t>Tipo: Local Integration Process Call</w:t>
      </w:r>
    </w:p>
    <w:p>
      <w:pPr>
        <w:pStyle w:val="ListBullet"/>
      </w:pPr>
      <w:r>
        <w:t xml:space="preserve">Proceso: </w:t>
      </w:r>
      <w:r>
        <w:rPr>
          <w:rFonts w:ascii="Courier New" w:hAnsi="Courier New"/>
          <w:sz w:val="18"/>
        </w:rPr>
        <w:t>Process_12</w:t>
      </w:r>
    </w:p>
    <w:p>
      <w:pPr>
        <w:pStyle w:val="ListBullet"/>
      </w:pPr>
      <w:r>
        <w:t>Función: Obtiene Token y Sign de autenticación AFIP</w:t>
      </w:r>
    </w:p>
    <w:p>
      <w:pPr>
        <w:pStyle w:val="ListNumber"/>
      </w:pPr>
      <w:r>
        <w:rPr>
          <w:b/>
        </w:rPr>
        <w:t>Recover Original Payload (CallActivity_24)</w:t>
      </w:r>
    </w:p>
    <w:p>
      <w:pPr>
        <w:pStyle w:val="ListBullet"/>
      </w:pPr>
      <w:r>
        <w:t>Tipo: Content Enricher</w:t>
      </w:r>
    </w:p>
    <w:p>
      <w:pPr>
        <w:pStyle w:val="ListBullet"/>
      </w:pPr>
      <w:r>
        <w:t>Extrae propiedades mediante XPath:</w:t>
      </w:r>
    </w:p>
    <w:p>
      <w:pPr>
        <w:pStyle w:val="ListBullet"/>
      </w:pPr>
      <w:r>
        <w:rPr>
          <w:rFonts w:ascii="Courier New" w:hAnsi="Courier New"/>
          <w:sz w:val="18"/>
        </w:rPr>
        <w:t>SignToken</w:t>
      </w:r>
      <w:r>
        <w:t xml:space="preserve">: </w:t>
      </w:r>
      <w:r>
        <w:rPr>
          <w:rFonts w:ascii="Courier New" w:hAnsi="Courier New"/>
          <w:sz w:val="18"/>
        </w:rPr>
        <w:t>/hci:FE_GetTokenSignResponse/RptaWsaa/token</w:t>
      </w:r>
    </w:p>
    <w:p>
      <w:pPr>
        <w:pStyle w:val="ListBullet"/>
      </w:pPr>
      <w:r>
        <w:rPr>
          <w:rFonts w:ascii="Courier New" w:hAnsi="Courier New"/>
          <w:sz w:val="18"/>
        </w:rPr>
        <w:t>SignValue</w:t>
      </w:r>
      <w:r>
        <w:t xml:space="preserve">: </w:t>
      </w:r>
      <w:r>
        <w:rPr>
          <w:rFonts w:ascii="Courier New" w:hAnsi="Courier New"/>
          <w:sz w:val="18"/>
        </w:rPr>
        <w:t>/hci:FE_GetTokenSignResponse/RptaWsaa/sign</w:t>
      </w:r>
    </w:p>
    <w:p>
      <w:pPr>
        <w:pStyle w:val="ListBullet"/>
      </w:pPr>
      <w:r>
        <w:t xml:space="preserve">Restaura payload original: </w:t>
      </w:r>
      <w:r>
        <w:rPr>
          <w:rFonts w:ascii="Courier New" w:hAnsi="Courier New"/>
          <w:sz w:val="18"/>
        </w:rPr>
        <w:t>${property.OriginalPayload}</w:t>
      </w:r>
    </w:p>
    <w:p>
      <w:pPr>
        <w:pStyle w:val="ListNumber"/>
      </w:pPr>
      <w:r>
        <w:rPr>
          <w:b/>
        </w:rPr>
        <w:t>MM - Dummy - Request (CallActivity_9022)</w:t>
      </w:r>
    </w:p>
    <w:p>
      <w:pPr>
        <w:pStyle w:val="ListBullet"/>
      </w:pPr>
      <w:r>
        <w:t>Tipo: Message Mapping</w:t>
      </w:r>
    </w:p>
    <w:p>
      <w:pPr>
        <w:pStyle w:val="ListBullet"/>
      </w:pPr>
      <w:r>
        <w:t xml:space="preserve">Mapping: </w:t>
      </w:r>
      <w:r>
        <w:rPr>
          <w:rFonts w:ascii="Courier New" w:hAnsi="Courier New"/>
          <w:sz w:val="18"/>
        </w:rPr>
        <w:t>MM_DUMMY_REQUEST.mmap</w:t>
      </w:r>
    </w:p>
    <w:p>
      <w:pPr>
        <w:pStyle w:val="ListBullet"/>
      </w:pPr>
      <w:r>
        <w:t>Transforma request para operación FEDummy</w:t>
      </w:r>
    </w:p>
    <w:p>
      <w:pPr>
        <w:pStyle w:val="ListNumber"/>
      </w:pPr>
      <w:r>
        <w:rPr>
          <w:b/>
        </w:rPr>
        <w:t>Request Dummy Service (ServiceTask_9025)</w:t>
      </w:r>
    </w:p>
    <w:p>
      <w:pPr>
        <w:pStyle w:val="ListBullet"/>
      </w:pPr>
      <w:r>
        <w:t>Tipo: SOAP Call (Receiver)</w:t>
      </w:r>
    </w:p>
    <w:p>
      <w:pPr>
        <w:pStyle w:val="ListBullet"/>
      </w:pPr>
      <w:r>
        <w:t>Sistema destino: WSFE</w:t>
      </w:r>
    </w:p>
    <w:p>
      <w:pPr>
        <w:pStyle w:val="ListBullet"/>
      </w:pPr>
      <w:r>
        <w:t xml:space="preserve">Operación: </w:t>
      </w:r>
      <w:r>
        <w:rPr>
          <w:rFonts w:ascii="Courier New" w:hAnsi="Courier New"/>
          <w:sz w:val="18"/>
        </w:rPr>
        <w:t>p1:FEDummy</w:t>
      </w:r>
    </w:p>
    <w:p>
      <w:pPr>
        <w:pStyle w:val="ListBullet"/>
      </w:pPr>
      <w:r>
        <w:t xml:space="preserve">Servicio: </w:t>
      </w:r>
      <w:r>
        <w:rPr>
          <w:rFonts w:ascii="Courier New" w:hAnsi="Courier New"/>
          <w:sz w:val="18"/>
        </w:rPr>
        <w:t>p1:Service</w:t>
      </w:r>
    </w:p>
    <w:p>
      <w:pPr>
        <w:pStyle w:val="ListBullet"/>
      </w:pPr>
      <w:r>
        <w:t xml:space="preserve">Puerto: </w:t>
      </w:r>
      <w:r>
        <w:rPr>
          <w:rFonts w:ascii="Courier New" w:hAnsi="Courier New"/>
          <w:sz w:val="18"/>
        </w:rPr>
        <w:t>p1:ServiceSoap</w:t>
      </w:r>
    </w:p>
    <w:p>
      <w:pPr>
        <w:pStyle w:val="ListNumber"/>
      </w:pPr>
      <w:r>
        <w:rPr>
          <w:b/>
        </w:rPr>
        <w:t>MM - Dummy - Response (CallActivity_537551)</w:t>
      </w:r>
    </w:p>
    <w:p>
      <w:pPr>
        <w:pStyle w:val="ListBullet"/>
      </w:pPr>
      <w:r>
        <w:t>Tipo: Message Mapping</w:t>
      </w:r>
    </w:p>
    <w:p>
      <w:pPr>
        <w:pStyle w:val="ListBullet"/>
      </w:pPr>
      <w:r>
        <w:t xml:space="preserve">Mapping: </w:t>
      </w:r>
      <w:r>
        <w:rPr>
          <w:rFonts w:ascii="Courier New" w:hAnsi="Courier New"/>
          <w:sz w:val="18"/>
        </w:rPr>
        <w:t>MM_DUMMY_RESPONSE.mmap</w:t>
      </w:r>
    </w:p>
    <w:p>
      <w:pPr>
        <w:pStyle w:val="ListBullet"/>
      </w:pPr>
      <w:r>
        <w:t>Transforma respuesta WSFE a formato S/4HANA</w:t>
      </w:r>
    </w:p>
    <w:p>
      <w:pPr>
        <w:pStyle w:val="ListNumber"/>
      </w:pPr>
      <w:r>
        <w:rPr>
          <w:b/>
        </w:rPr>
        <w:t>End (EndEvent_2)</w:t>
      </w:r>
    </w:p>
    <w:p>
      <w:pPr>
        <w:pStyle w:val="ListBullet"/>
      </w:pPr>
      <w:r>
        <w:t>Tipo: End Message Event</w:t>
      </w:r>
    </w:p>
    <w:p>
      <w:pPr>
        <w:pStyle w:val="ListBullet"/>
      </w:pPr>
      <w:r>
        <w:t>Retorna respuesta a S/4HANA</w:t>
      </w:r>
    </w:p>
    <w:p>
      <w:pPr>
        <w:pStyle w:val="Heading3"/>
      </w:pPr>
      <w:r>
        <w:t>Subproceso: Query Sign / Token (Process_12)</w:t>
      </w:r>
    </w:p>
    <w:p>
      <w:pPr>
        <w:pStyle w:val="ListNumber"/>
      </w:pPr>
      <w:r>
        <w:rPr>
          <w:b/>
        </w:rPr>
        <w:t>Query Sign / Token Start (StartEvent_13)</w:t>
      </w:r>
    </w:p>
    <w:p>
      <w:pPr>
        <w:pStyle w:val="ListBullet"/>
      </w:pPr>
      <w:r>
        <w:t>Inicio del subproceso local</w:t>
      </w:r>
    </w:p>
    <w:p>
      <w:pPr>
        <w:pStyle w:val="ListNumber"/>
      </w:pPr>
      <w:r>
        <w:rPr>
          <w:b/>
        </w:rPr>
        <w:t>Set Request Properties (CallActivity_16)</w:t>
      </w:r>
    </w:p>
    <w:p>
      <w:pPr>
        <w:pStyle w:val="ListBullet"/>
      </w:pPr>
      <w:r>
        <w:t>Tipo: Content Enricher</w:t>
      </w:r>
    </w:p>
    <w:p>
      <w:pPr>
        <w:pStyle w:val="ListBullet"/>
      </w:pPr>
      <w:r>
        <w:t xml:space="preserve">Extrae CUIT: </w:t>
      </w:r>
      <w:r>
        <w:rPr>
          <w:rFonts w:ascii="Courier New" w:hAnsi="Courier New"/>
          <w:sz w:val="18"/>
        </w:rPr>
        <w:t>//CUIT_COMP_CODE</w:t>
      </w:r>
      <w:r>
        <w:t xml:space="preserve"> (XPath)</w:t>
      </w:r>
    </w:p>
    <w:p>
      <w:pPr>
        <w:pStyle w:val="ListBullet"/>
      </w:pPr>
      <w:r>
        <w:t>Genera request XML:</w:t>
      </w:r>
    </w:p>
    <w:p>
      <w:pPr>
        <w:ind w:left="567"/>
      </w:pPr>
      <w:r>
        <w:rPr>
          <w:rFonts w:ascii="Courier New" w:hAnsi="Courier New"/>
          <w:color w:val="1F5080"/>
          <w:sz w:val="17"/>
        </w:rPr>
        <w:t xml:space="preserve">     &lt;hci:FE_GetTokenSign xmlns:hci="http://hci.sap.com"&gt;</w:t>
        <w:br/>
        <w:t xml:space="preserve">       &lt;CUIT&gt;${property.CUITNumber}&lt;/CUIT&gt;</w:t>
        <w:br/>
        <w:t xml:space="preserve">       &lt;SERVICE&gt;wsfe&lt;/SERVICE&gt;</w:t>
        <w:br/>
        <w:t xml:space="preserve">     &lt;/hci:FE_GetTokenSign&gt;</w:t>
      </w:r>
    </w:p>
    <w:p>
      <w:pPr>
        <w:pStyle w:val="ListNumber"/>
      </w:pPr>
      <w:r>
        <w:rPr>
          <w:b/>
        </w:rPr>
        <w:t>Call Sign / Token Service (ServiceTask_19)</w:t>
      </w:r>
    </w:p>
    <w:p>
      <w:pPr>
        <w:pStyle w:val="ListBullet"/>
      </w:pPr>
      <w:r>
        <w:t>Tipo: ProcessDirect Adapter (Receiver)</w:t>
      </w:r>
    </w:p>
    <w:p>
      <w:pPr>
        <w:pStyle w:val="ListBullet"/>
      </w:pPr>
      <w:r>
        <w:t xml:space="preserve">Dirección: </w:t>
      </w:r>
      <w:r>
        <w:rPr>
          <w:rFonts w:ascii="Courier New" w:hAnsi="Courier New"/>
          <w:sz w:val="18"/>
        </w:rPr>
        <w:t>{{SignFEAddress}}</w:t>
      </w:r>
    </w:p>
    <w:p>
      <w:pPr>
        <w:pStyle w:val="ListBullet"/>
      </w:pPr>
      <w:r>
        <w:t>Invoca iFlow de obtención de credenciales AFIP</w:t>
      </w:r>
    </w:p>
    <w:p>
      <w:pPr>
        <w:pStyle w:val="ListNumber"/>
      </w:pPr>
      <w:r>
        <w:rPr>
          <w:b/>
        </w:rPr>
        <w:t>Query Sign / Token End (EndEvent_14)</w:t>
      </w:r>
    </w:p>
    <w:p>
      <w:pPr>
        <w:pStyle w:val="ListBullet"/>
      </w:pPr>
      <w:r>
        <w:t>Fin del subproceso, retorna Token y Sign</w:t>
      </w:r>
    </w:p>
    <w:p>
      <w:pPr>
        <w:pBdr>
          <w:bottom w:val="single" w:sz="4" w:space="1" w:color="CCCCCC"/>
        </w:pBdr>
      </w:pPr>
    </w:p>
    <w:p>
      <w:pPr>
        <w:pStyle w:val="Heading2"/>
      </w:pPr>
      <w:r>
        <w:t>Sistemas Conectados</w:t>
      </w:r>
    </w:p>
    <w:p>
      <w:pPr>
        <w:pStyle w:val="Heading3"/>
      </w:pPr>
      <w:r>
        <w:t>1. S/4HANA (Sender)</w:t>
      </w:r>
    </w:p>
    <w:p>
      <w:pPr>
        <w:pStyle w:val="ListBullet"/>
      </w:pPr>
      <w:r>
        <w:rPr>
          <w:b/>
        </w:rPr>
        <w:t>Participante:</w:t>
      </w:r>
      <w:r>
        <w:t xml:space="preserve"> </w:t>
      </w:r>
      <w:r>
        <w:rPr>
          <w:rFonts w:ascii="Courier New" w:hAnsi="Courier New"/>
          <w:sz w:val="18"/>
        </w:rPr>
        <w:t>Participant_1</w:t>
      </w:r>
    </w:p>
    <w:p>
      <w:pPr>
        <w:pStyle w:val="ListBullet"/>
      </w:pPr>
      <w:r>
        <w:rPr>
          <w:b/>
        </w:rPr>
        <w:t>Protocolo:</w:t>
      </w:r>
      <w:r>
        <w:t xml:space="preserve"> SOAP 1.x over HTTP</w:t>
      </w:r>
    </w:p>
    <w:p>
      <w:pPr>
        <w:pStyle w:val="ListBullet"/>
      </w:pPr>
      <w:r>
        <w:rPr>
          <w:b/>
        </w:rPr>
        <w:t>Dirección:</w:t>
      </w:r>
      <w:r>
        <w:t xml:space="preserve"> </w:t>
      </w:r>
      <w:r>
        <w:rPr>
          <w:rFonts w:ascii="Courier New" w:hAnsi="Courier New"/>
          <w:sz w:val="18"/>
        </w:rPr>
        <w:t>/S4HANA/AFIP/WSFE/VerificarFEConexion</w:t>
      </w:r>
    </w:p>
    <w:p>
      <w:pPr>
        <w:pStyle w:val="ListBullet"/>
      </w:pPr>
      <w:r>
        <w:rPr>
          <w:b/>
        </w:rPr>
        <w:t>Patrón:</w:t>
      </w:r>
      <w:r>
        <w:t xml:space="preserve"> Request-Reply</w:t>
      </w:r>
    </w:p>
    <w:p>
      <w:pPr>
        <w:pStyle w:val="ListBullet"/>
      </w:pPr>
      <w:r>
        <w:rPr>
          <w:b/>
        </w:rPr>
        <w:t>WSDL Asociado:</w:t>
      </w:r>
      <w:r>
        <w:t xml:space="preserve"> </w:t>
      </w:r>
      <w:r>
        <w:rPr>
          <w:rFonts w:ascii="Courier New" w:hAnsi="Courier New"/>
          <w:sz w:val="18"/>
        </w:rPr>
        <w:t>BAPI_AR_WS_CONN_TEST.wsdl</w:t>
      </w:r>
    </w:p>
    <w:p>
      <w:pPr>
        <w:pStyle w:val="Heading3"/>
      </w:pPr>
      <w:r>
        <w:t>2. WSFE AFIP (Receiver)</w:t>
      </w:r>
    </w:p>
    <w:p>
      <w:pPr>
        <w:pStyle w:val="ListBullet"/>
      </w:pPr>
      <w:r>
        <w:rPr>
          <w:b/>
        </w:rPr>
        <w:t>Participante:</w:t>
      </w:r>
      <w:r>
        <w:t xml:space="preserve"> </w:t>
      </w:r>
      <w:r>
        <w:rPr>
          <w:rFonts w:ascii="Courier New" w:hAnsi="Courier New"/>
          <w:sz w:val="18"/>
        </w:rPr>
        <w:t>Participant_9028</w:t>
      </w:r>
    </w:p>
    <w:p>
      <w:pPr>
        <w:pStyle w:val="ListBullet"/>
      </w:pPr>
      <w:r>
        <w:rPr>
          <w:b/>
        </w:rPr>
        <w:t>Protocolo:</w:t>
      </w:r>
      <w:r>
        <w:t xml:space="preserve"> SOAP 1.x over HTTP</w:t>
      </w:r>
    </w:p>
    <w:p>
      <w:pPr>
        <w:pStyle w:val="ListBullet"/>
      </w:pPr>
      <w:r>
        <w:rPr>
          <w:b/>
        </w:rPr>
        <w:t>Dirección:</w:t>
      </w:r>
      <w:r>
        <w:t xml:space="preserve"> </w:t>
      </w:r>
      <w:r>
        <w:rPr>
          <w:rFonts w:ascii="Courier New" w:hAnsi="Courier New"/>
          <w:sz w:val="18"/>
        </w:rPr>
        <w:t>{{WSFEAddress}}/wsfev1/service.asmx</w:t>
      </w:r>
    </w:p>
    <w:p>
      <w:pPr>
        <w:pStyle w:val="ListBullet"/>
      </w:pPr>
      <w:r>
        <w:rPr>
          <w:b/>
        </w:rPr>
        <w:t>WSDL:</w:t>
      </w:r>
      <w:r>
        <w:t xml:space="preserve"> </w:t>
      </w:r>
      <w:r>
        <w:rPr>
          <w:rFonts w:ascii="Courier New" w:hAnsi="Courier New"/>
          <w:sz w:val="18"/>
        </w:rPr>
        <w:t>wsfe.wsdl</w:t>
      </w:r>
    </w:p>
    <w:p>
      <w:pPr>
        <w:pStyle w:val="ListBullet"/>
      </w:pPr>
      <w:r>
        <w:rPr>
          <w:b/>
        </w:rPr>
        <w:t>Servicio:</w:t>
      </w:r>
      <w:r>
        <w:t xml:space="preserve"> </w:t>
      </w:r>
      <w:r>
        <w:rPr>
          <w:rFonts w:ascii="Courier New" w:hAnsi="Courier New"/>
          <w:sz w:val="18"/>
        </w:rPr>
        <w:t>p1:Service</w:t>
      </w:r>
    </w:p>
    <w:p>
      <w:pPr>
        <w:pStyle w:val="ListBullet"/>
      </w:pPr>
      <w:r>
        <w:rPr>
          <w:b/>
        </w:rPr>
        <w:t>Puerto:</w:t>
      </w:r>
      <w:r>
        <w:t xml:space="preserve"> </w:t>
      </w:r>
      <w:r>
        <w:rPr>
          <w:rFonts w:ascii="Courier New" w:hAnsi="Courier New"/>
          <w:sz w:val="18"/>
        </w:rPr>
        <w:t>p1:ServiceSoap</w:t>
      </w:r>
    </w:p>
    <w:p>
      <w:pPr>
        <w:pStyle w:val="ListBullet"/>
      </w:pPr>
      <w:r>
        <w:rPr>
          <w:b/>
        </w:rPr>
        <w:t>Operación:</w:t>
      </w:r>
      <w:r>
        <w:t xml:space="preserve"> </w:t>
      </w:r>
      <w:r>
        <w:rPr>
          <w:rFonts w:ascii="Courier New" w:hAnsi="Courier New"/>
          <w:sz w:val="18"/>
        </w:rPr>
        <w:t>p1:FEDummy</w:t>
      </w:r>
    </w:p>
    <w:p>
      <w:pPr>
        <w:pStyle w:val="ListBullet"/>
      </w:pPr>
      <w:r>
        <w:rPr>
          <w:b/>
        </w:rPr>
        <w:t>Namespace:</w:t>
      </w:r>
      <w:r>
        <w:t xml:space="preserve"> </w:t>
      </w:r>
      <w:r>
        <w:rPr>
          <w:rFonts w:ascii="Courier New" w:hAnsi="Courier New"/>
          <w:sz w:val="18"/>
        </w:rPr>
        <w:t>http://ar.gov.afip.dif.FEV1/</w:t>
      </w:r>
    </w:p>
    <w:p>
      <w:pPr>
        <w:pStyle w:val="Heading3"/>
      </w:pPr>
      <w:r>
        <w:t>3. CPI (Internal - ProcessDirect)</w:t>
      </w:r>
    </w:p>
    <w:p>
      <w:pPr>
        <w:pStyle w:val="ListBullet"/>
      </w:pPr>
      <w:r>
        <w:rPr>
          <w:b/>
        </w:rPr>
        <w:t>Participante:</w:t>
      </w:r>
      <w:r>
        <w:t xml:space="preserve"> </w:t>
      </w:r>
      <w:r>
        <w:rPr>
          <w:rFonts w:ascii="Courier New" w:hAnsi="Courier New"/>
          <w:sz w:val="18"/>
        </w:rPr>
        <w:t>Participant_22</w:t>
      </w:r>
    </w:p>
    <w:p>
      <w:pPr>
        <w:pStyle w:val="ListBullet"/>
      </w:pPr>
      <w:r>
        <w:rPr>
          <w:b/>
        </w:rPr>
        <w:t>Adaptador:</w:t>
      </w:r>
      <w:r>
        <w:t xml:space="preserve"> ProcessDirect</w:t>
      </w:r>
    </w:p>
    <w:p>
      <w:pPr>
        <w:pStyle w:val="ListBullet"/>
      </w:pPr>
      <w:r>
        <w:rPr>
          <w:b/>
        </w:rPr>
        <w:t>Dirección:</w:t>
      </w:r>
      <w:r>
        <w:t xml:space="preserve"> </w:t>
      </w:r>
      <w:r>
        <w:rPr>
          <w:rFonts w:ascii="Courier New" w:hAnsi="Courier New"/>
          <w:sz w:val="18"/>
        </w:rPr>
        <w:t>{{SignFEAddress}}</w:t>
      </w:r>
    </w:p>
    <w:p>
      <w:pPr>
        <w:pStyle w:val="ListBullet"/>
      </w:pPr>
      <w:r>
        <w:rPr>
          <w:b/>
        </w:rPr>
        <w:t>Función:</w:t>
      </w:r>
      <w:r>
        <w:t xml:space="preserve"> Obtención de Token/Sign WSAA (Web Service de Autenticación y Autorización)</w:t>
      </w:r>
    </w:p>
    <w:p>
      <w:pPr>
        <w:pBdr>
          <w:bottom w:val="single" w:sz="4" w:space="1" w:color="CCCCCC"/>
        </w:pBdr>
      </w:pPr>
    </w:p>
    <w:p>
      <w:pPr>
        <w:pStyle w:val="Heading2"/>
      </w:pPr>
      <w:r>
        <w:t>Autenticación</w:t>
      </w:r>
    </w:p>
    <w:p>
      <w:pPr>
        <w:pStyle w:val="Heading3"/>
      </w:pPr>
      <w:r>
        <w:t>Canal Sender (S/4HANA → CPI)</w:t>
      </w:r>
    </w:p>
    <w:p>
      <w:pPr>
        <w:pStyle w:val="ListBullet"/>
      </w:pPr>
      <w:r>
        <w:rPr>
          <w:b/>
        </w:rPr>
        <w:t>Tipo:</w:t>
      </w:r>
      <w:r>
        <w:t xml:space="preserve"> Role-Based Authentication</w:t>
      </w:r>
    </w:p>
    <w:p>
      <w:pPr>
        <w:pStyle w:val="ListBullet"/>
      </w:pPr>
      <w:r>
        <w:rPr>
          <w:b/>
        </w:rPr>
        <w:t>Role Requerido:</w:t>
      </w:r>
      <w:r>
        <w:t xml:space="preserve"> </w:t>
      </w:r>
      <w:r>
        <w:rPr>
          <w:rFonts w:ascii="Courier New" w:hAnsi="Courier New"/>
          <w:sz w:val="18"/>
        </w:rPr>
        <w:t>ESBMessaging.send</w:t>
      </w:r>
    </w:p>
    <w:p>
      <w:pPr>
        <w:pStyle w:val="ListBullet"/>
      </w:pPr>
      <w:r>
        <w:rPr>
          <w:b/>
        </w:rPr>
        <w:t>WS-Security:</w:t>
      </w:r>
      <w:r>
        <w:t xml:space="preserve"> None (autenticación a nivel HTTP)</w:t>
      </w:r>
    </w:p>
    <w:p>
      <w:pPr>
        <w:pStyle w:val="ListBullet"/>
      </w:pPr>
      <w:r>
        <w:rPr>
          <w:b/>
        </w:rPr>
        <w:t>Certificados de Cliente:</w:t>
      </w:r>
      <w:r>
        <w:t xml:space="preserve"> No configurados</w:t>
      </w:r>
    </w:p>
    <w:p>
      <w:pPr>
        <w:pStyle w:val="ListBullet"/>
      </w:pPr>
      <w:r>
        <w:rPr>
          <w:b/>
        </w:rPr>
        <w:t>Basic Security Profile:</w:t>
      </w:r>
      <w:r>
        <w:t xml:space="preserve"> Compliant</w:t>
      </w:r>
    </w:p>
    <w:p>
      <w:pPr>
        <w:pStyle w:val="Heading3"/>
      </w:pPr>
      <w:r>
        <w:t>Canal Receiver (CPI → WSFE)</w:t>
      </w:r>
    </w:p>
    <w:p>
      <w:pPr>
        <w:pStyle w:val="ListBullet"/>
      </w:pPr>
      <w:r>
        <w:rPr>
          <w:b/>
        </w:rPr>
        <w:t>Autenticación HTTP:</w:t>
      </w:r>
      <w:r>
        <w:t xml:space="preserve"> None</w:t>
      </w:r>
    </w:p>
    <w:p>
      <w:pPr>
        <w:pStyle w:val="ListBullet"/>
      </w:pPr>
      <w:r>
        <w:rPr>
          <w:b/>
        </w:rPr>
        <w:t>WS-Security:</w:t>
      </w:r>
      <w:r>
        <w:t xml:space="preserve"> SignMessage (Firma de mensaje)</w:t>
      </w:r>
    </w:p>
    <w:p>
      <w:pPr>
        <w:pStyle w:val="ListBullet"/>
      </w:pPr>
      <w:r>
        <w:rPr>
          <w:b/>
        </w:rPr>
        <w:t>Tipo de Seguridad Saliente:</w:t>
      </w:r>
      <w:r>
        <w:t xml:space="preserve"> </w:t>
      </w:r>
      <w:r>
        <w:rPr>
          <w:rFonts w:ascii="Courier New" w:hAnsi="Courier New"/>
          <w:sz w:val="18"/>
        </w:rPr>
        <w:t>SignMessage</w:t>
      </w:r>
    </w:p>
    <w:p>
      <w:pPr>
        <w:pStyle w:val="ListBullet"/>
      </w:pPr>
      <w:r>
        <w:rPr>
          <w:b/>
        </w:rPr>
        <w:t>Algoritmo de Firma:</w:t>
      </w:r>
      <w:r>
        <w:t xml:space="preserve"> SHA1</w:t>
      </w:r>
    </w:p>
    <w:p>
      <w:pPr>
        <w:pStyle w:val="ListBullet"/>
      </w:pPr>
      <w:r>
        <w:rPr>
          <w:b/>
        </w:rPr>
        <w:t>Token Assertion:</w:t>
      </w:r>
      <w:r>
        <w:t xml:space="preserve"> WssX509V3Token10</w:t>
      </w:r>
    </w:p>
    <w:p>
      <w:pPr>
        <w:pStyle w:val="ListBullet"/>
      </w:pPr>
      <w:r>
        <w:rPr>
          <w:b/>
        </w:rPr>
        <w:t>Algorithm Suite:</w:t>
      </w:r>
      <w:r>
        <w:t xml:space="preserve"> Basic128Rsa15</w:t>
      </w:r>
    </w:p>
    <w:p>
      <w:pPr>
        <w:pStyle w:val="ListBullet"/>
      </w:pPr>
      <w:r>
        <w:rPr>
          <w:b/>
        </w:rPr>
        <w:t>Private Key Alias:</w:t>
      </w:r>
      <w:r>
        <w:t xml:space="preserve"> No especificado (externalizable)</w:t>
      </w:r>
    </w:p>
    <w:p>
      <w:pPr>
        <w:pStyle w:val="ListBullet"/>
      </w:pPr>
      <w:r>
        <w:rPr>
          <w:b/>
        </w:rPr>
        <w:t>Layout:</w:t>
      </w:r>
      <w:r>
        <w:t xml:space="preserve"> Strict</w:t>
      </w:r>
    </w:p>
    <w:p>
      <w:pPr>
        <w:pStyle w:val="ListBullet"/>
      </w:pPr>
      <w:r>
        <w:rPr>
          <w:b/>
        </w:rPr>
        <w:t>Timestamp:</w:t>
      </w:r>
      <w:r>
        <w:t xml:space="preserve"> Deshabilitado</w:t>
      </w:r>
    </w:p>
    <w:p>
      <w:pPr>
        <w:pStyle w:val="ListBullet"/>
      </w:pPr>
      <w:r>
        <w:rPr>
          <w:b/>
        </w:rPr>
        <w:t>Estrategia Token Iniciador:</w:t>
      </w:r>
      <w:r>
        <w:t xml:space="preserve"> AlwaysToRecipient</w:t>
      </w:r>
    </w:p>
    <w:p>
      <w:pPr>
        <w:pStyle w:val="ListBullet"/>
      </w:pPr>
      <w:r>
        <w:rPr>
          <w:b/>
        </w:rPr>
        <w:t>Estrategia Token Recipiente:</w:t>
      </w:r>
      <w:r>
        <w:t xml:space="preserve"> Never</w:t>
      </w:r>
    </w:p>
    <w:p>
      <w:pPr>
        <w:pStyle w:val="Heading3"/>
      </w:pPr>
      <w:r>
        <w:t>Credenciales AFIP (Token/Sign)</w:t>
      </w:r>
    </w:p>
    <w:p>
      <w:pPr>
        <w:pStyle w:val="ListBullet"/>
      </w:pPr>
      <w:r>
        <w:t xml:space="preserve">Obtenidas dinámicamente mediante llamada a </w:t>
      </w:r>
      <w:r>
        <w:rPr>
          <w:rFonts w:ascii="Courier New" w:hAnsi="Courier New"/>
          <w:sz w:val="18"/>
        </w:rPr>
        <w:t>{{SignFEAddress}}</w:t>
      </w:r>
    </w:p>
    <w:p>
      <w:pPr>
        <w:pStyle w:val="ListBullet"/>
      </w:pPr>
      <w:r>
        <w:rPr>
          <w:b/>
        </w:rPr>
        <w:t>Token:</w:t>
      </w:r>
      <w:r>
        <w:t xml:space="preserve"> Extraído de </w:t>
      </w:r>
      <w:r>
        <w:rPr>
          <w:rFonts w:ascii="Courier New" w:hAnsi="Courier New"/>
          <w:sz w:val="18"/>
        </w:rPr>
        <w:t>/hci:FE_GetTokenSignResponse/RptaWsaa/token</w:t>
      </w:r>
    </w:p>
    <w:p>
      <w:pPr>
        <w:pStyle w:val="ListBullet"/>
      </w:pPr>
      <w:r>
        <w:rPr>
          <w:b/>
        </w:rPr>
        <w:t>Sign:</w:t>
      </w:r>
      <w:r>
        <w:t xml:space="preserve"> Extraído de </w:t>
      </w:r>
      <w:r>
        <w:rPr>
          <w:rFonts w:ascii="Courier New" w:hAnsi="Courier New"/>
          <w:sz w:val="18"/>
        </w:rPr>
        <w:t>/hci:FE_GetTokenSignResponse/RptaWsaa/sign</w:t>
      </w:r>
    </w:p>
    <w:p>
      <w:pPr>
        <w:pStyle w:val="ListBullet"/>
      </w:pPr>
      <w:r>
        <w:rPr>
          <w:b/>
        </w:rPr>
        <w:t>CUIT:</w:t>
      </w:r>
      <w:r>
        <w:t xml:space="preserve"> Extraído del mensaje entrante (</w:t>
      </w:r>
      <w:r>
        <w:rPr>
          <w:rFonts w:ascii="Courier New" w:hAnsi="Courier New"/>
          <w:sz w:val="18"/>
        </w:rPr>
        <w:t>//CUIT_COMP_CODE</w:t>
      </w:r>
      <w:r>
        <w:t>)</w:t>
      </w:r>
    </w:p>
    <w:p>
      <w:pPr>
        <w:pStyle w:val="ListBullet"/>
      </w:pPr>
      <w:r>
        <w:rPr>
          <w:b/>
        </w:rPr>
        <w:t>Servicio:</w:t>
      </w:r>
      <w:r>
        <w:t xml:space="preserve"> </w:t>
      </w:r>
      <w:r>
        <w:rPr>
          <w:rFonts w:ascii="Courier New" w:hAnsi="Courier New"/>
          <w:sz w:val="18"/>
        </w:rPr>
        <w:t>wsfe</w:t>
      </w:r>
      <w:r>
        <w:t xml:space="preserve"> (hardcoded)</w:t>
      </w:r>
    </w:p>
    <w:p>
      <w:pPr>
        <w:pBdr>
          <w:bottom w:val="single" w:sz="4" w:space="1" w:color="CCCCCC"/>
        </w:pBdr>
      </w:pPr>
    </w:p>
    <w:p>
      <w:pPr>
        <w:pStyle w:val="Heading2"/>
      </w:pPr>
      <w:r>
        <w:t>Transformaciones y Mappings</w:t>
      </w:r>
    </w:p>
    <w:p>
      <w:pPr>
        <w:pStyle w:val="Heading3"/>
      </w:pPr>
      <w:r>
        <w:t>1. MM_DUMMY_REQUEST.mmap</w:t>
      </w:r>
    </w:p>
    <w:p>
      <w:pPr>
        <w:pStyle w:val="ListBullet"/>
      </w:pPr>
      <w:r>
        <w:rPr>
          <w:b/>
        </w:rPr>
        <w:t>Ubicación:</w:t>
      </w:r>
      <w:r>
        <w:t xml:space="preserve"> </w:t>
      </w:r>
      <w:r>
        <w:rPr>
          <w:rFonts w:ascii="Courier New" w:hAnsi="Courier New"/>
          <w:sz w:val="18"/>
        </w:rPr>
        <w:t>src/main/resources/mapping/MM_DUMMY_REQUEST.mmap</w:t>
      </w:r>
    </w:p>
    <w:p>
      <w:pPr>
        <w:pStyle w:val="ListBullet"/>
      </w:pPr>
      <w:r>
        <w:rPr>
          <w:b/>
        </w:rPr>
        <w:t>Tipo:</w:t>
      </w:r>
      <w:r>
        <w:t xml:space="preserve"> Message Mapping</w:t>
      </w:r>
    </w:p>
    <w:p>
      <w:pPr>
        <w:pStyle w:val="ListBullet"/>
      </w:pPr>
      <w:r>
        <w:rPr>
          <w:b/>
        </w:rPr>
        <w:t>Dirección:</w:t>
      </w:r>
      <w:r>
        <w:t xml:space="preserve"> Request</w:t>
      </w:r>
    </w:p>
    <w:p>
      <w:pPr>
        <w:pStyle w:val="ListBullet"/>
      </w:pPr>
      <w:r>
        <w:rPr>
          <w:b/>
        </w:rPr>
        <w:t>Función:</w:t>
      </w:r>
      <w:r>
        <w:t xml:space="preserve"> Transforma el payload de S/4HANA al formato esperado por la operación </w:t>
      </w:r>
      <w:r>
        <w:rPr>
          <w:rFonts w:ascii="Courier New" w:hAnsi="Courier New"/>
          <w:sz w:val="18"/>
        </w:rPr>
        <w:t>FEDummy</w:t>
      </w:r>
      <w:r>
        <w:t xml:space="preserve"> de WSFE</w:t>
      </w:r>
    </w:p>
    <w:p>
      <w:pPr>
        <w:pStyle w:val="ListBullet"/>
      </w:pPr>
      <w:r>
        <w:rPr>
          <w:b/>
        </w:rPr>
        <w:t>Entrada:</w:t>
      </w:r>
      <w:r>
        <w:t xml:space="preserve"> Estructura SAP + Propiedades (SignToken, SignValue)</w:t>
      </w:r>
    </w:p>
    <w:p>
      <w:pPr>
        <w:pStyle w:val="ListBullet"/>
      </w:pPr>
      <w:r>
        <w:rPr>
          <w:b/>
        </w:rPr>
        <w:t>Salida:</w:t>
      </w:r>
      <w:r>
        <w:t xml:space="preserve"> Estructura SOAP para FEDummy de AFIP</w:t>
      </w:r>
    </w:p>
    <w:p>
      <w:pPr>
        <w:pStyle w:val="Heading3"/>
      </w:pPr>
      <w:r>
        <w:t>2. MM_DUMMY_RESPONSE.mmap</w:t>
      </w:r>
    </w:p>
    <w:p>
      <w:pPr>
        <w:pStyle w:val="ListBullet"/>
      </w:pPr>
      <w:r>
        <w:rPr>
          <w:b/>
        </w:rPr>
        <w:t>Ubicación:</w:t>
      </w:r>
      <w:r>
        <w:t xml:space="preserve"> </w:t>
      </w:r>
      <w:r>
        <w:rPr>
          <w:rFonts w:ascii="Courier New" w:hAnsi="Courier New"/>
          <w:sz w:val="18"/>
        </w:rPr>
        <w:t>src/main/resources/mapping/MM_DUMMY_RESPONSE.mmap</w:t>
      </w:r>
    </w:p>
    <w:p>
      <w:pPr>
        <w:pStyle w:val="ListBullet"/>
      </w:pPr>
      <w:r>
        <w:rPr>
          <w:b/>
        </w:rPr>
        <w:t>Tipo:</w:t>
      </w:r>
      <w:r>
        <w:t xml:space="preserve"> Message Mapping</w:t>
      </w:r>
    </w:p>
    <w:p>
      <w:pPr>
        <w:pStyle w:val="ListBullet"/>
      </w:pPr>
      <w:r>
        <w:rPr>
          <w:b/>
        </w:rPr>
        <w:t>Dirección:</w:t>
      </w:r>
      <w:r>
        <w:t xml:space="preserve"> Response</w:t>
      </w:r>
    </w:p>
    <w:p>
      <w:pPr>
        <w:pStyle w:val="ListBullet"/>
      </w:pPr>
      <w:r>
        <w:rPr>
          <w:b/>
        </w:rPr>
        <w:t>Función:</w:t>
      </w:r>
      <w:r>
        <w:t xml:space="preserve"> Transforma la respuesta WSFE al formato esperado por S/4HANA</w:t>
      </w:r>
    </w:p>
    <w:p>
      <w:pPr>
        <w:pStyle w:val="ListBullet"/>
      </w:pPr>
      <w:r>
        <w:rPr>
          <w:b/>
        </w:rPr>
        <w:t>Entrada:</w:t>
      </w:r>
      <w:r>
        <w:t xml:space="preserve"> Respuesta SOAP de FEDummy (AFIP)</w:t>
      </w:r>
    </w:p>
    <w:p>
      <w:pPr>
        <w:pStyle w:val="ListBullet"/>
      </w:pPr>
      <w:r>
        <w:rPr>
          <w:b/>
        </w:rPr>
        <w:t>Salida:</w:t>
      </w:r>
      <w:r>
        <w:t xml:space="preserve"> Estructura de respuesta SAP</w:t>
      </w:r>
    </w:p>
    <w:p>
      <w:pPr>
        <w:pStyle w:val="Heading3"/>
      </w:pPr>
      <w:r>
        <w:t>Content Enrichers</w:t>
      </w:r>
    </w:p>
    <w:p>
      <w:r>
        <w:t>#### Store Original Payload</w:t>
      </w:r>
    </w:p>
    <w:p>
      <w:pPr>
        <w:ind w:left="567"/>
      </w:pPr>
      <w:r>
        <w:rPr>
          <w:rFonts w:ascii="Courier New" w:hAnsi="Courier New"/>
          <w:color w:val="1F5080"/>
          <w:sz w:val="17"/>
        </w:rPr>
        <w:t>Property: OriginalPayload</w:t>
        <w:br/>
        <w:t>Type: expression</w:t>
        <w:br/>
        <w:t>Value: ${in.body}</w:t>
        <w:br/>
        <w:t>Datatype: java.lang.String</w:t>
      </w:r>
    </w:p>
    <w:p>
      <w:r>
        <w:t>#### Recover Original Payload</w:t>
      </w:r>
    </w:p>
    <w:p>
      <w:pPr>
        <w:ind w:left="567"/>
      </w:pPr>
      <w:r>
        <w:rPr>
          <w:rFonts w:ascii="Courier New" w:hAnsi="Courier New"/>
          <w:color w:val="1F5080"/>
          <w:sz w:val="17"/>
        </w:rPr>
        <w:t>// Extracción de credenciales</w:t>
        <w:br/>
        <w:t>Property: SignToken</w:t>
        <w:br/>
        <w:t>Type: xpath</w:t>
        <w:br/>
        <w:t>Value: /hci:FE_GetTokenSignResponse/RptaWsaa/token</w:t>
        <w:br/>
        <w:t>Datatype: java.lang.String</w:t>
        <w:br/>
        <w:br/>
        <w:t>Property: SignValue</w:t>
        <w:br/>
        <w:t>Type: xpath</w:t>
        <w:br/>
        <w:t>Value: /hci:FE_GetTokenSignResponse/RptaWsaa/sign</w:t>
        <w:br/>
        <w:t>Datatype: java.lang.String</w:t>
        <w:br/>
        <w:br/>
        <w:t>// Restauración de payload</w:t>
        <w:br/>
        <w:t>Body: ${property.OriginalPayload}</w:t>
      </w:r>
    </w:p>
    <w:p>
      <w:r>
        <w:t>#### Set Request Properties (Subproceso)</w:t>
      </w:r>
    </w:p>
    <w:p>
      <w:pPr>
        <w:ind w:left="567"/>
      </w:pPr>
      <w:r>
        <w:rPr>
          <w:rFonts w:ascii="Courier New" w:hAnsi="Courier New"/>
          <w:color w:val="1F5080"/>
          <w:sz w:val="17"/>
        </w:rPr>
        <w:t>// Extracción CUIT</w:t>
        <w:br/>
        <w:t>Property: CUITNumber</w:t>
        <w:br/>
        <w:t>Type: xpath</w:t>
        <w:br/>
        <w:t>Value: //CUIT_COMP_CODE</w:t>
        <w:br/>
        <w:t>Datatype: java.lang.String</w:t>
        <w:br/>
        <w:br/>
        <w:t>// Generación request Token/Sign</w:t>
        <w:br/>
        <w:t>Body:</w:t>
        <w:br/>
        <w:t>&lt;hci:FE_GetTokenSign xmlns:hci="http://hci.sap.com"&gt;</w:t>
        <w:br/>
        <w:t xml:space="preserve">  &lt;CUIT&gt;${property.CUITNumber}&lt;/CUIT&gt;</w:t>
        <w:br/>
        <w:t xml:space="preserve">  &lt;SERVICE&gt;wsfe&lt;/SERVICE&gt;</w:t>
        <w:br/>
        <w:t>&lt;/hci:FE_GetTokenSign&gt;</w:t>
      </w:r>
    </w:p>
    <w:p>
      <w:pPr>
        <w:pBdr>
          <w:bottom w:val="single" w:sz="4" w:space="1" w:color="CCCCCC"/>
        </w:pBdr>
      </w:pPr>
    </w:p>
    <w:p>
      <w:pPr>
        <w:pStyle w:val="Heading2"/>
      </w:pPr>
      <w:r>
        <w:t>Scripts</w:t>
      </w:r>
    </w:p>
    <w:p>
      <w:pPr>
        <w:pStyle w:val="Heading3"/>
      </w:pPr>
      <w:r>
        <w:t>Archivo: ElectronicDocuments.groovy</w:t>
      </w:r>
    </w:p>
    <w:p>
      <w:r>
        <w:rPr>
          <w:b/>
        </w:rPr>
        <w:t>Ubicación:</w:t>
      </w:r>
      <w:r>
        <w:t xml:space="preserve"> </w:t>
      </w:r>
      <w:r>
        <w:rPr>
          <w:rFonts w:ascii="Courier New" w:hAnsi="Courier New"/>
          <w:sz w:val="18"/>
        </w:rPr>
        <w:t>src/main/resources/script/ElectronicDocuments.groovy</w:t>
      </w:r>
    </w:p>
    <w:p>
      <w:r>
        <w:rPr>
          <w:b/>
        </w:rPr>
        <w:t>Funciones Disponibles:</w:t>
      </w:r>
    </w:p>
    <w:p>
      <w:r>
        <w:t>#### 1. storeLogging(Message message)</w:t>
      </w:r>
    </w:p>
    <w:p>
      <w:pPr>
        <w:pStyle w:val="ListBullet"/>
      </w:pPr>
      <w:r>
        <w:rPr>
          <w:b/>
        </w:rPr>
        <w:t>Propósito:</w:t>
      </w:r>
      <w:r>
        <w:t xml:space="preserve"> Almacena log del payload si está habilitado</w:t>
      </w:r>
    </w:p>
    <w:p>
      <w:pPr>
        <w:pStyle w:val="ListBullet"/>
      </w:pPr>
      <w:r>
        <w:rPr>
          <w:b/>
        </w:rPr>
        <w:t>Parámetro:</w:t>
      </w:r>
      <w:r>
        <w:t xml:space="preserve"> </w:t>
      </w:r>
      <w:r>
        <w:rPr>
          <w:rFonts w:ascii="Courier New" w:hAnsi="Courier New"/>
          <w:sz w:val="18"/>
        </w:rPr>
        <w:t>EnableLogging</w:t>
      </w:r>
      <w:r>
        <w:t xml:space="preserve"> property</w:t>
      </w:r>
    </w:p>
    <w:p>
      <w:pPr>
        <w:pStyle w:val="ListBullet"/>
      </w:pPr>
      <w:r>
        <w:rPr>
          <w:b/>
        </w:rPr>
        <w:t>Acción:</w:t>
      </w:r>
      <w:r>
        <w:t xml:space="preserve"> Añade attachment XML al message log</w:t>
      </w:r>
    </w:p>
    <w:p>
      <w:r>
        <w:t>#### 2. sleepThread(Message message)</w:t>
      </w:r>
    </w:p>
    <w:p>
      <w:pPr>
        <w:pStyle w:val="ListBullet"/>
      </w:pPr>
      <w:r>
        <w:rPr>
          <w:b/>
        </w:rPr>
        <w:t>Propósito:</w:t>
      </w:r>
      <w:r>
        <w:t xml:space="preserve"> Pausa la ejecución</w:t>
      </w:r>
    </w:p>
    <w:p>
      <w:pPr>
        <w:pStyle w:val="ListBullet"/>
      </w:pPr>
      <w:r>
        <w:rPr>
          <w:b/>
        </w:rPr>
        <w:t>Duración:</w:t>
      </w:r>
      <w:r>
        <w:t xml:space="preserve"> 3000ms (3 segundos)</w:t>
      </w:r>
    </w:p>
    <w:p>
      <w:r>
        <w:t>#### 3. getProperty(String propertyName, MappingContext context)</w:t>
      </w:r>
    </w:p>
    <w:p>
      <w:pPr>
        <w:pStyle w:val="ListBullet"/>
      </w:pPr>
      <w:r>
        <w:rPr>
          <w:b/>
        </w:rPr>
        <w:t>Propósito:</w:t>
      </w:r>
      <w:r>
        <w:t xml:space="preserve"> Obtiene propiedad del contexto de mapping</w:t>
      </w:r>
    </w:p>
    <w:p>
      <w:pPr>
        <w:pStyle w:val="ListBullet"/>
      </w:pPr>
      <w:r>
        <w:rPr>
          <w:b/>
        </w:rPr>
        <w:t>Retorno:</w:t>
      </w:r>
      <w:r>
        <w:t xml:space="preserve"> String (vacío si no existe)</w:t>
      </w:r>
    </w:p>
    <w:p>
      <w:r>
        <w:t>#### 4. setReturnFromBody(Message message)</w:t>
      </w:r>
    </w:p>
    <w:p>
      <w:pPr>
        <w:pStyle w:val="ListBullet"/>
      </w:pPr>
      <w:r>
        <w:rPr>
          <w:b/>
        </w:rPr>
        <w:t>Propósito:</w:t>
      </w:r>
      <w:r>
        <w:t xml:space="preserve"> Guarda el body en propiedad </w:t>
      </w:r>
      <w:r>
        <w:rPr>
          <w:rFonts w:ascii="Courier New" w:hAnsi="Courier New"/>
          <w:sz w:val="18"/>
        </w:rPr>
        <w:t>ReturnMessage</w:t>
      </w:r>
    </w:p>
    <w:p>
      <w:r>
        <w:t>#### 5. isErrorBodyEmpty(Message message)</w:t>
      </w:r>
    </w:p>
    <w:p>
      <w:pPr>
        <w:pStyle w:val="ListBullet"/>
      </w:pPr>
      <w:r>
        <w:rPr>
          <w:b/>
        </w:rPr>
        <w:t>Propósito:</w:t>
      </w:r>
      <w:r>
        <w:t xml:space="preserve"> Verifica si el payload está vacío</w:t>
      </w:r>
    </w:p>
    <w:p>
      <w:pPr>
        <w:pStyle w:val="ListBullet"/>
      </w:pPr>
      <w:r>
        <w:rPr>
          <w:b/>
        </w:rPr>
        <w:t>Propiedad:</w:t>
      </w:r>
      <w:r>
        <w:t xml:space="preserve"> </w:t>
      </w:r>
      <w:r>
        <w:rPr>
          <w:rFonts w:ascii="Courier New" w:hAnsi="Courier New"/>
          <w:sz w:val="18"/>
        </w:rPr>
        <w:t>EmptyPayload</w:t>
      </w:r>
      <w:r>
        <w:t xml:space="preserve"> (boolean)</w:t>
      </w:r>
    </w:p>
    <w:p>
      <w:r>
        <w:t>#### 6. addContextChange(String[] input, Output output, MappingContext context)</w:t>
      </w:r>
    </w:p>
    <w:p>
      <w:pPr>
        <w:pStyle w:val="ListBullet"/>
      </w:pPr>
      <w:r>
        <w:rPr>
          <w:b/>
        </w:rPr>
        <w:t>Propósito:</w:t>
      </w:r>
      <w:r>
        <w:t xml:space="preserve"> Manejo de cambios de contexto en mappings</w:t>
      </w:r>
    </w:p>
    <w:p>
      <w:pPr>
        <w:pStyle w:val="ListBullet"/>
      </w:pPr>
      <w:r>
        <w:rPr>
          <w:b/>
        </w:rPr>
        <w:t>Separador:</w:t>
      </w:r>
      <w:r>
        <w:t xml:space="preserve"> </w:t>
      </w:r>
      <w:r>
        <w:rPr>
          <w:rFonts w:ascii="Courier New" w:hAnsi="Courier New"/>
          <w:sz w:val="18"/>
        </w:rPr>
        <w:t>*</w:t>
      </w:r>
    </w:p>
    <w:p>
      <w:r>
        <w:t>#### 7. raiseCustomException(Message message)</w:t>
      </w:r>
    </w:p>
    <w:p>
      <w:pPr>
        <w:pStyle w:val="ListBullet"/>
      </w:pPr>
      <w:r>
        <w:rPr>
          <w:b/>
        </w:rPr>
        <w:t>Propósito:</w:t>
      </w:r>
      <w:r>
        <w:t xml:space="preserve"> Lanza excepción con el contenido del body</w:t>
      </w:r>
    </w:p>
    <w:p>
      <w:r>
        <w:t>#### 8. removeNonNumeric(String sNumericIn)</w:t>
      </w:r>
    </w:p>
    <w:p>
      <w:pPr>
        <w:pStyle w:val="ListBullet"/>
      </w:pPr>
      <w:r>
        <w:rPr>
          <w:b/>
        </w:rPr>
        <w:t>Propósito:</w:t>
      </w:r>
      <w:r>
        <w:t xml:space="preserve"> Elimina caracteres no numéricos</w:t>
      </w:r>
    </w:p>
    <w:p>
      <w:pPr>
        <w:pStyle w:val="ListBullet"/>
      </w:pPr>
      <w:r>
        <w:rPr>
          <w:b/>
        </w:rPr>
        <w:t>Regex:</w:t>
      </w:r>
      <w:r>
        <w:t xml:space="preserve"> </w:t>
      </w:r>
      <w:r>
        <w:rPr>
          <w:rFonts w:ascii="Courier New" w:hAnsi="Courier New"/>
          <w:sz w:val="18"/>
        </w:rPr>
        <w:t>[^\d]</w:t>
      </w:r>
    </w:p>
    <w:p>
      <w:r>
        <w:t>#### 9. findErrorException(Message message)</w:t>
      </w:r>
    </w:p>
    <w:p>
      <w:pPr>
        <w:pStyle w:val="ListBullet"/>
      </w:pPr>
      <w:r>
        <w:rPr>
          <w:b/>
        </w:rPr>
        <w:t>Propósito:</w:t>
      </w:r>
      <w:r>
        <w:t xml:space="preserve"> Extrae detalles de excepciones</w:t>
      </w:r>
    </w:p>
    <w:p>
      <w:pPr>
        <w:pStyle w:val="ListBullet"/>
      </w:pPr>
      <w:r>
        <w:rPr>
          <w:b/>
        </w:rPr>
        <w:t>Propiedad:</w:t>
      </w:r>
      <w:r>
        <w:t xml:space="preserve"> </w:t>
      </w:r>
      <w:r>
        <w:rPr>
          <w:rFonts w:ascii="Courier New" w:hAnsi="Courier New"/>
          <w:sz w:val="18"/>
        </w:rPr>
        <w:t>CamelExceptionCaught</w:t>
      </w:r>
    </w:p>
    <w:p>
      <w:pPr>
        <w:pStyle w:val="ListBullet"/>
      </w:pPr>
      <w:r>
        <w:rPr>
          <w:b/>
        </w:rPr>
        <w:t>Almacena en:</w:t>
      </w:r>
      <w:r>
        <w:t xml:space="preserve"> </w:t>
      </w:r>
      <w:r>
        <w:rPr>
          <w:rFonts w:ascii="Courier New" w:hAnsi="Courier New"/>
          <w:sz w:val="18"/>
        </w:rPr>
        <w:t>ReturnMessage</w:t>
      </w:r>
    </w:p>
    <w:p>
      <w:r>
        <w:t>#### 10. convertErrorData(Message message)</w:t>
      </w:r>
    </w:p>
    <w:p>
      <w:pPr>
        <w:pStyle w:val="ListBullet"/>
      </w:pPr>
      <w:r>
        <w:rPr>
          <w:b/>
        </w:rPr>
        <w:t>Propósito:</w:t>
      </w:r>
      <w:r>
        <w:t xml:space="preserve"> Sanitiza mensajes de error (elimina </w:t>
      </w:r>
      <w:r>
        <w:rPr>
          <w:rFonts w:ascii="Courier New" w:hAnsi="Courier New"/>
          <w:sz w:val="18"/>
        </w:rPr>
        <w:t>&lt;</w:t>
      </w:r>
      <w:r>
        <w:t xml:space="preserve"> y </w:t>
      </w:r>
      <w:r>
        <w:rPr>
          <w:rFonts w:ascii="Courier New" w:hAnsi="Courier New"/>
          <w:sz w:val="18"/>
        </w:rPr>
        <w:t>&gt;</w:t>
      </w:r>
      <w:r>
        <w:t>)</w:t>
      </w:r>
    </w:p>
    <w:p>
      <w:r>
        <w:t>#### 11. saveErrorData(Message message)</w:t>
      </w:r>
    </w:p>
    <w:p>
      <w:pPr>
        <w:pStyle w:val="ListBullet"/>
      </w:pPr>
      <w:r>
        <w:rPr>
          <w:b/>
        </w:rPr>
        <w:t>Propósito:</w:t>
      </w:r>
      <w:r>
        <w:t xml:space="preserve"> Guarda payload, headers y propiedades en attachments</w:t>
      </w:r>
    </w:p>
    <w:p>
      <w:pPr>
        <w:pStyle w:val="ListBullet"/>
      </w:pPr>
      <w:r>
        <w:rPr>
          <w:b/>
        </w:rPr>
        <w:t>Parámetros:</w:t>
      </w:r>
    </w:p>
    <w:p>
      <w:pPr>
        <w:pStyle w:val="ListBullet"/>
      </w:pPr>
      <w:r>
        <w:rPr>
          <w:rFonts w:ascii="Courier New" w:hAnsi="Courier New"/>
          <w:sz w:val="18"/>
        </w:rPr>
        <w:t>LogProperty</w:t>
      </w:r>
      <w:r>
        <w:t>: true/false</w:t>
      </w:r>
    </w:p>
    <w:p>
      <w:pPr>
        <w:pStyle w:val="ListBullet"/>
      </w:pPr>
      <w:r>
        <w:rPr>
          <w:rFonts w:ascii="Courier New" w:hAnsi="Courier New"/>
          <w:sz w:val="18"/>
        </w:rPr>
        <w:t>LogHeader</w:t>
      </w:r>
      <w:r>
        <w:t>: true/false</w:t>
      </w:r>
    </w:p>
    <w:p>
      <w:pPr>
        <w:pStyle w:val="ListBullet"/>
      </w:pPr>
      <w:r>
        <w:rPr>
          <w:rFonts w:ascii="Courier New" w:hAnsi="Courier New"/>
          <w:sz w:val="18"/>
        </w:rPr>
        <w:t>LogBody</w:t>
      </w:r>
      <w:r>
        <w:t>: true/false (default: true)</w:t>
      </w:r>
    </w:p>
    <w:p>
      <w:r>
        <w:t>#### 12. formatErrorPayload(Message message)</w:t>
      </w:r>
    </w:p>
    <w:p>
      <w:pPr>
        <w:pStyle w:val="ListBullet"/>
      </w:pPr>
      <w:r>
        <w:rPr>
          <w:b/>
        </w:rPr>
        <w:t>Propósito:</w:t>
      </w:r>
      <w:r>
        <w:t xml:space="preserve"> Formatea payload de error extrayendo </w:t>
      </w:r>
      <w:r>
        <w:rPr>
          <w:rFonts w:ascii="Courier New" w:hAnsi="Courier New"/>
          <w:sz w:val="18"/>
        </w:rPr>
        <w:t>&lt;errordetails&gt;</w:t>
      </w:r>
    </w:p>
    <w:p>
      <w:pPr>
        <w:pStyle w:val="ListBullet"/>
      </w:pPr>
      <w:r>
        <w:rPr>
          <w:b/>
        </w:rPr>
        <w:t>Fallback:</w:t>
      </w:r>
      <w:r>
        <w:t xml:space="preserve"> Usa </w:t>
      </w:r>
      <w:r>
        <w:rPr>
          <w:rFonts w:ascii="Courier New" w:hAnsi="Courier New"/>
          <w:sz w:val="18"/>
        </w:rPr>
        <w:t>CustomError</w:t>
      </w:r>
      <w:r>
        <w:t xml:space="preserve"> property o </w:t>
      </w:r>
      <w:r>
        <w:rPr>
          <w:rFonts w:ascii="Courier New" w:hAnsi="Courier New"/>
          <w:sz w:val="18"/>
        </w:rPr>
        <w:t>CamelExceptionCaught</w:t>
      </w:r>
    </w:p>
    <w:p>
      <w:r>
        <w:t>#### 13. logMessagePayload(Message message)</w:t>
      </w:r>
    </w:p>
    <w:p>
      <w:pPr>
        <w:pStyle w:val="ListBullet"/>
      </w:pPr>
      <w:r>
        <w:rPr>
          <w:b/>
        </w:rPr>
        <w:t>Propósito:</w:t>
      </w:r>
      <w:r>
        <w:t xml:space="preserve"> Logging selectivo de mensaje</w:t>
      </w:r>
    </w:p>
    <w:p>
      <w:pPr>
        <w:pStyle w:val="ListBullet"/>
      </w:pPr>
      <w:r>
        <w:rPr>
          <w:b/>
        </w:rPr>
        <w:t>Configuración:</w:t>
      </w:r>
      <w:r>
        <w:t xml:space="preserve"> Igual que saveErrorData</w:t>
      </w:r>
    </w:p>
    <w:p>
      <w:r>
        <w:rPr>
          <w:b/>
        </w:rPr>
        <w:t>Nota:</w:t>
      </w:r>
      <w:r>
        <w:t xml:space="preserve"> Estas funciones están disponibles pero </w:t>
      </w:r>
      <w:r>
        <w:rPr>
          <w:b/>
        </w:rPr>
        <w:t>no se utilizan directamente</w:t>
      </w:r>
      <w:r>
        <w:t xml:space="preserve"> en el flujo actual. Son parte de una librería compartida para manejo de documentos electrónicos AFIP.</w:t>
      </w:r>
    </w:p>
    <w:p>
      <w:pPr>
        <w:pBdr>
          <w:bottom w:val="single" w:sz="4" w:space="1" w:color="CCCCCC"/>
        </w:pBdr>
      </w:pPr>
    </w:p>
    <w:p>
      <w:pPr>
        <w:pStyle w:val="Heading2"/>
      </w:pPr>
      <w:r>
        <w:t>Parámetros Externalizables</w:t>
      </w:r>
    </w:p>
    <w:p>
      <w:pPr>
        <w:pStyle w:val="Heading3"/>
      </w:pPr>
      <w:r>
        <w:t>Configuración del Adapter WSFE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03B62"/>
          </w:tcPr>
          <w:p>
            <w:r>
              <w:rPr>
                <w:b/>
                <w:color w:val="FFFFFF"/>
              </w:rPr>
              <w:t>Parámetro</w:t>
            </w:r>
          </w:p>
        </w:tc>
        <w:tc>
          <w:tcPr>
            <w:tcW w:type="dxa" w:w="2351"/>
            <w:shd w:val="clear" w:color="auto" w:fill="003B62"/>
          </w:tcPr>
          <w:p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351"/>
            <w:shd w:val="clear" w:color="auto" w:fill="003B62"/>
          </w:tcPr>
          <w:p>
            <w:r>
              <w:rPr>
                <w:b/>
                <w:color w:val="FFFFFF"/>
              </w:rPr>
              <w:t>Valor por Defecto</w:t>
            </w:r>
          </w:p>
        </w:tc>
        <w:tc>
          <w:tcPr>
            <w:tcW w:type="dxa" w:w="2351"/>
            <w:shd w:val="clear" w:color="auto" w:fill="003B62"/>
          </w:tcPr>
          <w:p>
            <w:r>
              <w:rPr>
                <w:b/>
                <w:color w:val="FFFFFF"/>
              </w:rPr>
              <w:t>Tipo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t>WSFEAddress</w:t>
            </w:r>
          </w:p>
        </w:tc>
        <w:tc>
          <w:tcPr>
            <w:tcW w:type="dxa" w:w="2351"/>
            <w:shd w:val="clear" w:color="auto" w:fill="FFFFFF"/>
          </w:tcPr>
          <w:p>
            <w:r>
              <w:t>URL base del servicio WSFE AFIP</w:t>
            </w:r>
          </w:p>
        </w:tc>
        <w:tc>
          <w:tcPr>
            <w:tcW w:type="dxa" w:w="2351"/>
            <w:shd w:val="clear" w:color="auto" w:fill="FFFFFF"/>
          </w:tcPr>
          <w:p>
            <w:r>
              <w:t>-</w:t>
            </w:r>
          </w:p>
        </w:tc>
        <w:tc>
          <w:tcPr>
            <w:tcW w:type="dxa" w:w="2351"/>
            <w:shd w:val="clear" w:color="auto" w:fill="FFFFFF"/>
          </w:tcPr>
          <w:p>
            <w:r>
              <w:t>String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t>PrivateKeyAliasSigning</w:t>
            </w:r>
          </w:p>
        </w:tc>
        <w:tc>
          <w:tcPr>
            <w:tcW w:type="dxa" w:w="2351"/>
            <w:shd w:val="clear" w:color="auto" w:fill="EEF4FB"/>
          </w:tcPr>
          <w:p>
            <w:r>
              <w:t>Alias de clave privada para firma WS-Security</w:t>
            </w:r>
          </w:p>
        </w:tc>
        <w:tc>
          <w:tcPr>
            <w:tcW w:type="dxa" w:w="2351"/>
            <w:shd w:val="clear" w:color="auto" w:fill="EEF4FB"/>
          </w:tcPr>
          <w:p>
            <w:r>
              <w:t>-</w:t>
            </w:r>
          </w:p>
        </w:tc>
        <w:tc>
          <w:tcPr>
            <w:tcW w:type="dxa" w:w="2351"/>
            <w:shd w:val="clear" w:color="auto" w:fill="EEF4FB"/>
          </w:tcPr>
          <w:p>
            <w:r>
              <w:t>Secure Parameter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t>PublicKeyAliasEncryption</w:t>
            </w:r>
          </w:p>
        </w:tc>
        <w:tc>
          <w:tcPr>
            <w:tcW w:type="dxa" w:w="2351"/>
            <w:shd w:val="clear" w:color="auto" w:fill="FFFFFF"/>
          </w:tcPr>
          <w:p>
            <w:r>
              <w:t>Alias de clave pública para encriptación</w:t>
            </w:r>
          </w:p>
        </w:tc>
        <w:tc>
          <w:tcPr>
            <w:tcW w:type="dxa" w:w="2351"/>
            <w:shd w:val="clear" w:color="auto" w:fill="FFFFFF"/>
          </w:tcPr>
          <w:p>
            <w:r>
              <w:t>-</w:t>
            </w:r>
          </w:p>
        </w:tc>
        <w:tc>
          <w:tcPr>
            <w:tcW w:type="dxa" w:w="2351"/>
            <w:shd w:val="clear" w:color="auto" w:fill="FFFFFF"/>
          </w:tcPr>
          <w:p>
            <w:r>
              <w:t>Secure Parameter</w:t>
            </w:r>
          </w:p>
        </w:tc>
      </w:tr>
    </w:tbl>
    <w:p/>
    <w:p>
      <w:pPr>
        <w:pStyle w:val="Heading3"/>
      </w:pPr>
      <w:r>
        <w:t>Configuración ProcessDirect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03B62"/>
          </w:tcPr>
          <w:p>
            <w:r>
              <w:rPr>
                <w:b/>
                <w:color w:val="FFFFFF"/>
              </w:rPr>
              <w:t>Parámetro</w:t>
            </w:r>
          </w:p>
        </w:tc>
        <w:tc>
          <w:tcPr>
            <w:tcW w:type="dxa" w:w="2351"/>
            <w:shd w:val="clear" w:color="auto" w:fill="003B62"/>
          </w:tcPr>
          <w:p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351"/>
            <w:shd w:val="clear" w:color="auto" w:fill="003B62"/>
          </w:tcPr>
          <w:p>
            <w:r>
              <w:rPr>
                <w:b/>
                <w:color w:val="FFFFFF"/>
              </w:rPr>
              <w:t>Valor por Defecto</w:t>
            </w:r>
          </w:p>
        </w:tc>
        <w:tc>
          <w:tcPr>
            <w:tcW w:type="dxa" w:w="2351"/>
            <w:shd w:val="clear" w:color="auto" w:fill="003B62"/>
          </w:tcPr>
          <w:p>
            <w:r>
              <w:rPr>
                <w:b/>
                <w:color w:val="FFFFFF"/>
              </w:rPr>
              <w:t>Tipo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t>SignFEAddress</w:t>
            </w:r>
          </w:p>
        </w:tc>
        <w:tc>
          <w:tcPr>
            <w:tcW w:type="dxa" w:w="2351"/>
            <w:shd w:val="clear" w:color="auto" w:fill="FFFFFF"/>
          </w:tcPr>
          <w:p>
            <w:r>
              <w:t>Dirección del iFlow de obtención Token/Sign</w:t>
            </w:r>
          </w:p>
        </w:tc>
        <w:tc>
          <w:tcPr>
            <w:tcW w:type="dxa" w:w="2351"/>
            <w:shd w:val="clear" w:color="auto" w:fill="FFFFFF"/>
          </w:tcPr>
          <w:p>
            <w:r>
              <w:t>-</w:t>
            </w:r>
          </w:p>
        </w:tc>
        <w:tc>
          <w:tcPr>
            <w:tcW w:type="dxa" w:w="2351"/>
            <w:shd w:val="clear" w:color="auto" w:fill="FFFFFF"/>
          </w:tcPr>
          <w:p>
            <w:r>
              <w:t>String</w:t>
            </w:r>
          </w:p>
        </w:tc>
      </w:tr>
    </w:tbl>
    <w:p/>
    <w:p>
      <w:pPr>
        <w:pStyle w:val="Heading3"/>
      </w:pPr>
      <w:r>
        <w:t>Configuraciones SOAP Sender (Implícitas)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03B62"/>
          </w:tcPr>
          <w:p>
            <w:r>
              <w:rPr>
                <w:b/>
                <w:color w:val="FFFFFF"/>
              </w:rPr>
              <w:t>Configuración</w:t>
            </w:r>
          </w:p>
        </w:tc>
        <w:tc>
          <w:tcPr>
            <w:tcW w:type="dxa" w:w="3135"/>
            <w:shd w:val="clear" w:color="auto" w:fill="003B62"/>
          </w:tcPr>
          <w:p>
            <w:r>
              <w:rPr>
                <w:b/>
                <w:color w:val="FFFFFF"/>
              </w:rPr>
              <w:t>Valor</w:t>
            </w:r>
          </w:p>
        </w:tc>
        <w:tc>
          <w:tcPr>
            <w:tcW w:type="dxa" w:w="3135"/>
            <w:shd w:val="clear" w:color="auto" w:fill="003B62"/>
          </w:tcPr>
          <w:p>
            <w:r>
              <w:rPr>
                <w:b/>
                <w:color w:val="FFFFFF"/>
              </w:rPr>
              <w:t>Modificable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t>address</w:t>
            </w:r>
          </w:p>
        </w:tc>
        <w:tc>
          <w:tcPr>
            <w:tcW w:type="dxa" w:w="3135"/>
            <w:shd w:val="clear" w:color="auto" w:fill="FFFFFF"/>
          </w:tcPr>
          <w:p>
            <w:r>
              <w:t>/S4HANA/AFIP/WSFE/VerificarFEConexion</w:t>
            </w:r>
          </w:p>
        </w:tc>
        <w:tc>
          <w:tcPr>
            <w:tcW w:type="dxa" w:w="3135"/>
            <w:shd w:val="clear" w:color="auto" w:fill="FFFFFF"/>
          </w:tcPr>
          <w:p>
            <w:r>
              <w:t>Sí</w:t>
            </w:r>
          </w:p>
        </w:tc>
      </w:tr>
      <w:tr>
        <w:tc>
          <w:tcPr>
            <w:tcW w:type="dxa" w:w="3135"/>
            <w:shd w:val="clear" w:color="auto" w:fill="EEF4FB"/>
          </w:tcPr>
          <w:p>
            <w:r>
              <w:t>userRole</w:t>
            </w:r>
          </w:p>
        </w:tc>
        <w:tc>
          <w:tcPr>
            <w:tcW w:type="dxa" w:w="3135"/>
            <w:shd w:val="clear" w:color="auto" w:fill="EEF4FB"/>
          </w:tcPr>
          <w:p>
            <w:r>
              <w:t>ESBMessaging.send</w:t>
            </w:r>
          </w:p>
        </w:tc>
        <w:tc>
          <w:tcPr>
            <w:tcW w:type="dxa" w:w="3135"/>
            <w:shd w:val="clear" w:color="auto" w:fill="EEF4FB"/>
          </w:tcPr>
          <w:p>
            <w:r>
              <w:t>Sí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t>maximumBodySize</w:t>
            </w:r>
          </w:p>
        </w:tc>
        <w:tc>
          <w:tcPr>
            <w:tcW w:type="dxa" w:w="3135"/>
            <w:shd w:val="clear" w:color="auto" w:fill="FFFFFF"/>
          </w:tcPr>
          <w:p>
            <w:r>
              <w:t>40 MB</w:t>
            </w:r>
          </w:p>
        </w:tc>
        <w:tc>
          <w:tcPr>
            <w:tcW w:type="dxa" w:w="3135"/>
            <w:shd w:val="clear" w:color="auto" w:fill="FFFFFF"/>
          </w:tcPr>
          <w:p>
            <w:r>
              <w:t>Sí</w:t>
            </w:r>
          </w:p>
        </w:tc>
      </w:tr>
      <w:tr>
        <w:tc>
          <w:tcPr>
            <w:tcW w:type="dxa" w:w="3135"/>
            <w:shd w:val="clear" w:color="auto" w:fill="EEF4FB"/>
          </w:tcPr>
          <w:p>
            <w:r>
              <w:t>maximumAttachmentSize</w:t>
            </w:r>
          </w:p>
        </w:tc>
        <w:tc>
          <w:tcPr>
            <w:tcW w:type="dxa" w:w="3135"/>
            <w:shd w:val="clear" w:color="auto" w:fill="EEF4FB"/>
          </w:tcPr>
          <w:p>
            <w:r>
              <w:t>100 MB</w:t>
            </w:r>
          </w:p>
        </w:tc>
        <w:tc>
          <w:tcPr>
            <w:tcW w:type="dxa" w:w="3135"/>
            <w:shd w:val="clear" w:color="auto" w:fill="EEF4FB"/>
          </w:tcPr>
          <w:p>
            <w:r>
              <w:t>Sí</w:t>
            </w:r>
          </w:p>
        </w:tc>
      </w:tr>
    </w:tbl>
    <w:p/>
    <w:p>
      <w:pPr>
        <w:pStyle w:val="Heading3"/>
      </w:pPr>
      <w:r>
        <w:t>Configuraciones SOAP Receiver (WSFE)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03B62"/>
          </w:tcPr>
          <w:p>
            <w:r>
              <w:rPr>
                <w:b/>
                <w:color w:val="FFFFFF"/>
              </w:rPr>
              <w:t>Configuración</w:t>
            </w:r>
          </w:p>
        </w:tc>
        <w:tc>
          <w:tcPr>
            <w:tcW w:type="dxa" w:w="3135"/>
            <w:shd w:val="clear" w:color="auto" w:fill="003B62"/>
          </w:tcPr>
          <w:p>
            <w:r>
              <w:rPr>
                <w:b/>
                <w:color w:val="FFFFFF"/>
              </w:rPr>
              <w:t>Valor</w:t>
            </w:r>
          </w:p>
        </w:tc>
        <w:tc>
          <w:tcPr>
            <w:tcW w:type="dxa" w:w="3135"/>
            <w:shd w:val="clear" w:color="auto" w:fill="003B62"/>
          </w:tcPr>
          <w:p>
            <w:r>
              <w:rPr>
                <w:b/>
                <w:color w:val="FFFFFF"/>
              </w:rPr>
              <w:t>Modificable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t>requestTimeout</w:t>
            </w:r>
          </w:p>
        </w:tc>
        <w:tc>
          <w:tcPr>
            <w:tcW w:type="dxa" w:w="3135"/>
            <w:shd w:val="clear" w:color="auto" w:fill="FFFFFF"/>
          </w:tcPr>
          <w:p>
            <w:r>
              <w:t>60000 ms</w:t>
            </w:r>
          </w:p>
        </w:tc>
        <w:tc>
          <w:tcPr>
            <w:tcW w:type="dxa" w:w="3135"/>
            <w:shd w:val="clear" w:color="auto" w:fill="FFFFFF"/>
          </w:tcPr>
          <w:p>
            <w:r>
              <w:t>Sí</w:t>
            </w:r>
          </w:p>
        </w:tc>
      </w:tr>
      <w:tr>
        <w:tc>
          <w:tcPr>
            <w:tcW w:type="dxa" w:w="3135"/>
            <w:shd w:val="clear" w:color="auto" w:fill="EEF4FB"/>
          </w:tcPr>
          <w:p>
            <w:r>
              <w:t>allowChunking</w:t>
            </w:r>
          </w:p>
        </w:tc>
        <w:tc>
          <w:tcPr>
            <w:tcW w:type="dxa" w:w="3135"/>
            <w:shd w:val="clear" w:color="auto" w:fill="EEF4FB"/>
          </w:tcPr>
          <w:p>
            <w:r>
              <w:t>true</w:t>
            </w:r>
          </w:p>
        </w:tc>
        <w:tc>
          <w:tcPr>
            <w:tcW w:type="dxa" w:w="3135"/>
            <w:shd w:val="clear" w:color="auto" w:fill="EEF4FB"/>
          </w:tcPr>
          <w:p>
            <w:r>
              <w:t>Sí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t>KeepConnectionAlive</w:t>
            </w:r>
          </w:p>
        </w:tc>
        <w:tc>
          <w:tcPr>
            <w:tcW w:type="dxa" w:w="3135"/>
            <w:shd w:val="clear" w:color="auto" w:fill="FFFFFF"/>
          </w:tcPr>
          <w:p>
            <w:r>
              <w:t>true</w:t>
            </w:r>
          </w:p>
        </w:tc>
        <w:tc>
          <w:tcPr>
            <w:tcW w:type="dxa" w:w="3135"/>
            <w:shd w:val="clear" w:color="auto" w:fill="FFFFFF"/>
          </w:tcPr>
          <w:p>
            <w:r>
              <w:t>Sí</w:t>
            </w:r>
          </w:p>
        </w:tc>
      </w:tr>
      <w:tr>
        <w:tc>
          <w:tcPr>
            <w:tcW w:type="dxa" w:w="3135"/>
            <w:shd w:val="clear" w:color="auto" w:fill="EEF4FB"/>
          </w:tcPr>
          <w:p>
            <w:r>
              <w:t>CompressMessage</w:t>
            </w:r>
          </w:p>
        </w:tc>
        <w:tc>
          <w:tcPr>
            <w:tcW w:type="dxa" w:w="3135"/>
            <w:shd w:val="clear" w:color="auto" w:fill="EEF4FB"/>
          </w:tcPr>
          <w:p>
            <w:r>
              <w:t>false</w:t>
            </w:r>
          </w:p>
        </w:tc>
        <w:tc>
          <w:tcPr>
            <w:tcW w:type="dxa" w:w="3135"/>
            <w:shd w:val="clear" w:color="auto" w:fill="EEF4FB"/>
          </w:tcPr>
          <w:p>
            <w:r>
              <w:t>Sí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t>cleanupHeaders</w:t>
            </w:r>
          </w:p>
        </w:tc>
        <w:tc>
          <w:tcPr>
            <w:tcW w:type="dxa" w:w="3135"/>
            <w:shd w:val="clear" w:color="auto" w:fill="FFFFFF"/>
          </w:tcPr>
          <w:p>
            <w:r>
              <w:t>true</w:t>
            </w:r>
          </w:p>
        </w:tc>
        <w:tc>
          <w:tcPr>
            <w:tcW w:type="dxa" w:w="3135"/>
            <w:shd w:val="clear" w:color="auto" w:fill="FFFFFF"/>
          </w:tcPr>
          <w:p>
            <w:r>
              <w:t>Sí</w:t>
            </w:r>
          </w:p>
        </w:tc>
      </w:tr>
    </w:tbl>
    <w:p/>
    <w:p>
      <w:pPr>
        <w:pStyle w:val="Heading3"/>
      </w:pPr>
      <w:r>
        <w:t>Propiedades del Integration Process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03B62"/>
          </w:tcPr>
          <w:p>
            <w:r>
              <w:rPr>
                <w:b/>
                <w:color w:val="FFFFFF"/>
              </w:rPr>
              <w:t>Propiedad</w:t>
            </w:r>
          </w:p>
        </w:tc>
        <w:tc>
          <w:tcPr>
            <w:tcW w:type="dxa" w:w="3135"/>
            <w:shd w:val="clear" w:color="auto" w:fill="003B62"/>
          </w:tcPr>
          <w:p>
            <w:r>
              <w:rPr>
                <w:b/>
                <w:color w:val="FFFFFF"/>
              </w:rPr>
              <w:t>Valor</w:t>
            </w:r>
          </w:p>
        </w:tc>
        <w:tc>
          <w:tcPr>
            <w:tcW w:type="dxa" w:w="3135"/>
            <w:shd w:val="clear" w:color="auto" w:fill="003B62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t>transactionTimeout</w:t>
            </w:r>
          </w:p>
        </w:tc>
        <w:tc>
          <w:tcPr>
            <w:tcW w:type="dxa" w:w="3135"/>
            <w:shd w:val="clear" w:color="auto" w:fill="FFFFFF"/>
          </w:tcPr>
          <w:p>
            <w:r>
              <w:t>30 segundos</w:t>
            </w:r>
          </w:p>
        </w:tc>
        <w:tc>
          <w:tcPr>
            <w:tcW w:type="dxa" w:w="3135"/>
            <w:shd w:val="clear" w:color="auto" w:fill="FFFFFF"/>
          </w:tcPr>
          <w:p>
            <w:r>
              <w:t>Timeout de transacción</w:t>
            </w:r>
          </w:p>
        </w:tc>
      </w:tr>
      <w:tr>
        <w:tc>
          <w:tcPr>
            <w:tcW w:type="dxa" w:w="3135"/>
            <w:shd w:val="clear" w:color="auto" w:fill="EEF4FB"/>
          </w:tcPr>
          <w:p>
            <w:r>
              <w:t>transactionalHandling</w:t>
            </w:r>
          </w:p>
        </w:tc>
        <w:tc>
          <w:tcPr>
            <w:tcW w:type="dxa" w:w="3135"/>
            <w:shd w:val="clear" w:color="auto" w:fill="EEF4FB"/>
          </w:tcPr>
          <w:p>
            <w:r>
              <w:t>Not Required</w:t>
            </w:r>
          </w:p>
        </w:tc>
        <w:tc>
          <w:tcPr>
            <w:tcW w:type="dxa" w:w="3135"/>
            <w:shd w:val="clear" w:color="auto" w:fill="EEF4FB"/>
          </w:tcPr>
          <w:p>
            <w:r>
              <w:t>Sin manejo transaccional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t>httpSessionHandling</w:t>
            </w:r>
          </w:p>
        </w:tc>
        <w:tc>
          <w:tcPr>
            <w:tcW w:type="dxa" w:w="3135"/>
            <w:shd w:val="clear" w:color="auto" w:fill="FFFFFF"/>
          </w:tcPr>
          <w:p>
            <w:r>
              <w:t>None</w:t>
            </w:r>
          </w:p>
        </w:tc>
        <w:tc>
          <w:tcPr>
            <w:tcW w:type="dxa" w:w="3135"/>
            <w:shd w:val="clear" w:color="auto" w:fill="FFFFFF"/>
          </w:tcPr>
          <w:p>
            <w:r>
              <w:t>Sin manejo de sesión HTTP</w:t>
            </w:r>
          </w:p>
        </w:tc>
      </w:tr>
      <w:tr>
        <w:tc>
          <w:tcPr>
            <w:tcW w:type="dxa" w:w="3135"/>
            <w:shd w:val="clear" w:color="auto" w:fill="EEF4FB"/>
          </w:tcPr>
          <w:p>
            <w:r>
              <w:t>returnExceptionToSender</w:t>
            </w:r>
          </w:p>
        </w:tc>
        <w:tc>
          <w:tcPr>
            <w:tcW w:type="dxa" w:w="3135"/>
            <w:shd w:val="clear" w:color="auto" w:fill="EEF4FB"/>
          </w:tcPr>
          <w:p>
            <w:r>
              <w:t>true</w:t>
            </w:r>
          </w:p>
        </w:tc>
        <w:tc>
          <w:tcPr>
            <w:tcW w:type="dxa" w:w="3135"/>
            <w:shd w:val="clear" w:color="auto" w:fill="EEF4FB"/>
          </w:tcPr>
          <w:p>
            <w:r>
              <w:t>Retorna excepciones al sender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t>log</w:t>
            </w:r>
          </w:p>
        </w:tc>
        <w:tc>
          <w:tcPr>
            <w:tcW w:type="dxa" w:w="3135"/>
            <w:shd w:val="clear" w:color="auto" w:fill="FFFFFF"/>
          </w:tcPr>
          <w:p>
            <w:r>
              <w:t>All events</w:t>
            </w:r>
          </w:p>
        </w:tc>
        <w:tc>
          <w:tcPr>
            <w:tcW w:type="dxa" w:w="3135"/>
            <w:shd w:val="clear" w:color="auto" w:fill="FFFFFF"/>
          </w:tcPr>
          <w:p>
            <w:r>
              <w:t>Nivel de logging</w:t>
            </w:r>
          </w:p>
        </w:tc>
      </w:tr>
    </w:tbl>
    <w:p/>
    <w:p>
      <w:pPr>
        <w:pBdr>
          <w:bottom w:val="single" w:sz="4" w:space="1" w:color="CCCCCC"/>
        </w:pBdr>
      </w:pPr>
    </w:p>
    <w:p>
      <w:pPr>
        <w:pStyle w:val="Heading2"/>
      </w:pPr>
      <w:r>
        <w:t>Diagrama de Flujo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B6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3B6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5A9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