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560" w:type="dxa"/>
              <w:left w:w="560" w:type="dxa"/>
              <w:bottom w:w="560" w:type="dxa"/>
              <w:right w:w="560" w:type="dxa"/>
            </w:tcMar>
          </w:tcPr>
          <w:p w:rsidR="005473D0" w:rsidRDefault="00FD51F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QUANTUM TECHNOLOGY</w:t>
            </w:r>
          </w:p>
          <w:p w:rsidR="005473D0" w:rsidRDefault="00FD51F3">
            <w:pPr>
              <w:spacing w:after="80"/>
              <w:jc w:val="center"/>
            </w:pPr>
            <w:r>
              <w:rPr>
                <w:b/>
                <w:bCs/>
                <w:color w:val="7EC8E3"/>
                <w:sz w:val="60"/>
                <w:szCs w:val="60"/>
              </w:rPr>
              <w:t>ANALYSIS REPORT</w:t>
            </w:r>
          </w:p>
          <w:p w:rsidR="005473D0" w:rsidRDefault="00FD51F3">
            <w:pPr>
              <w:pBdr>
                <w:top w:val="single" w:sz="4" w:space="1" w:color="F9A825"/>
              </w:pBdr>
              <w:spacing w:before="100"/>
              <w:jc w:val="center"/>
            </w:pPr>
            <w:r>
              <w:rPr>
                <w:color w:val="F9A825"/>
                <w:sz w:val="26"/>
                <w:szCs w:val="26"/>
              </w:rPr>
              <w:t>Computing  •  Telecoms  •  Energy  •  Health</w:t>
            </w:r>
          </w:p>
          <w:p w:rsidR="005473D0" w:rsidRDefault="00FD51F3">
            <w:pPr>
              <w:spacing w:before="120"/>
              <w:jc w:val="center"/>
            </w:pPr>
            <w:r>
              <w:rPr>
                <w:i/>
                <w:iCs/>
                <w:color w:val="AACCEE"/>
              </w:rPr>
              <w:t>2025 Strategic Landscape Assessment</w:t>
            </w:r>
          </w:p>
        </w:tc>
      </w:tr>
    </w:tbl>
    <w:p w:rsidR="005473D0" w:rsidRDefault="005473D0">
      <w:pPr>
        <w:spacing w:before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0"/>
        <w:gridCol w:w="2340"/>
        <w:gridCol w:w="2340"/>
        <w:gridCol w:w="234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60"/>
              <w:jc w:val="center"/>
            </w:pPr>
            <w:r>
              <w:rPr>
                <w:sz w:val="36"/>
                <w:szCs w:val="36"/>
              </w:rPr>
              <w:t>⚙</w:t>
            </w:r>
            <w:r>
              <w:rPr>
                <w:sz w:val="36"/>
                <w:szCs w:val="36"/>
              </w:rPr>
              <w:t>️</w:t>
            </w:r>
          </w:p>
          <w:p w:rsidR="005473D0" w:rsidRDefault="00FD51F3">
            <w:pPr>
              <w:spacing w:after="40"/>
              <w:jc w:val="center"/>
            </w:pPr>
            <w:r>
              <w:rPr>
                <w:b/>
                <w:bCs/>
                <w:color w:val="1565C0"/>
                <w:sz w:val="21"/>
                <w:szCs w:val="21"/>
              </w:rPr>
              <w:t>Quantum Computing</w:t>
            </w:r>
          </w:p>
          <w:p w:rsidR="005473D0" w:rsidRDefault="00FD51F3">
            <w:pPr>
              <w:jc w:val="center"/>
            </w:pPr>
            <w:r>
              <w:rPr>
                <w:i/>
                <w:iCs/>
                <w:color w:val="637087"/>
                <w:sz w:val="18"/>
                <w:szCs w:val="18"/>
              </w:rPr>
              <w:t>NISQ → Fault-tolerant</w:t>
            </w:r>
          </w:p>
        </w:tc>
        <w:tc>
          <w:tcPr>
            <w:tcW w:w="23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60"/>
              <w:jc w:val="center"/>
            </w:pPr>
            <w:r>
              <w:rPr>
                <w:sz w:val="36"/>
                <w:szCs w:val="36"/>
              </w:rPr>
              <w:t>🔒</w:t>
            </w:r>
          </w:p>
          <w:p w:rsidR="005473D0" w:rsidRDefault="00FD51F3">
            <w:pPr>
              <w:spacing w:after="40"/>
              <w:jc w:val="center"/>
            </w:pPr>
            <w:r>
              <w:rPr>
                <w:b/>
                <w:bCs/>
                <w:color w:val="00838F"/>
                <w:sz w:val="21"/>
                <w:szCs w:val="21"/>
              </w:rPr>
              <w:t>Quantum Telecoms</w:t>
            </w:r>
          </w:p>
          <w:p w:rsidR="005473D0" w:rsidRDefault="00FD51F3">
            <w:pPr>
              <w:jc w:val="center"/>
            </w:pPr>
            <w:r>
              <w:rPr>
                <w:i/>
                <w:iCs/>
                <w:color w:val="637087"/>
                <w:sz w:val="18"/>
                <w:szCs w:val="18"/>
              </w:rPr>
              <w:t>QKD &amp; Quantum Internet</w:t>
            </w:r>
          </w:p>
        </w:tc>
        <w:tc>
          <w:tcPr>
            <w:tcW w:w="23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60"/>
              <w:jc w:val="center"/>
            </w:pPr>
            <w:r>
              <w:rPr>
                <w:sz w:val="36"/>
                <w:szCs w:val="36"/>
              </w:rPr>
              <w:t>⚡</w:t>
            </w:r>
          </w:p>
          <w:p w:rsidR="005473D0" w:rsidRDefault="00FD51F3">
            <w:pPr>
              <w:spacing w:after="40"/>
              <w:jc w:val="center"/>
            </w:pPr>
            <w:r>
              <w:rPr>
                <w:b/>
                <w:bCs/>
                <w:color w:val="1565A0"/>
                <w:sz w:val="21"/>
                <w:szCs w:val="21"/>
              </w:rPr>
              <w:t>Quantum Energy</w:t>
            </w:r>
          </w:p>
          <w:p w:rsidR="005473D0" w:rsidRDefault="00FD51F3">
            <w:pPr>
              <w:jc w:val="center"/>
            </w:pPr>
            <w:r>
              <w:rPr>
                <w:i/>
                <w:iCs/>
                <w:color w:val="637087"/>
                <w:sz w:val="18"/>
                <w:szCs w:val="18"/>
              </w:rPr>
              <w:t>Materials &amp; Sensors</w:t>
            </w:r>
          </w:p>
        </w:tc>
        <w:tc>
          <w:tcPr>
            <w:tcW w:w="23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60"/>
              <w:jc w:val="center"/>
            </w:pPr>
            <w:r>
              <w:rPr>
                <w:sz w:val="36"/>
                <w:szCs w:val="36"/>
              </w:rPr>
              <w:t>🧬</w:t>
            </w:r>
          </w:p>
          <w:p w:rsidR="005473D0" w:rsidRDefault="00FD51F3">
            <w:pPr>
              <w:spacing w:after="40"/>
              <w:jc w:val="center"/>
            </w:pPr>
            <w:r>
              <w:rPr>
                <w:b/>
                <w:bCs/>
                <w:color w:val="6A1B9A"/>
                <w:sz w:val="21"/>
                <w:szCs w:val="21"/>
              </w:rPr>
              <w:t xml:space="preserve">Quantum </w:t>
            </w:r>
            <w:r>
              <w:rPr>
                <w:b/>
                <w:bCs/>
                <w:color w:val="6A1B9A"/>
                <w:sz w:val="21"/>
                <w:szCs w:val="21"/>
              </w:rPr>
              <w:t>Health</w:t>
            </w:r>
          </w:p>
          <w:p w:rsidR="005473D0" w:rsidRDefault="00FD51F3">
            <w:pPr>
              <w:jc w:val="center"/>
            </w:pPr>
            <w:r>
              <w:rPr>
                <w:i/>
                <w:iCs/>
                <w:color w:val="637087"/>
                <w:sz w:val="18"/>
                <w:szCs w:val="18"/>
              </w:rPr>
              <w:t>Sensing &amp; Drug Discovery</w:t>
            </w:r>
          </w:p>
        </w:tc>
      </w:tr>
    </w:tbl>
    <w:p w:rsidR="005473D0" w:rsidRDefault="005473D0">
      <w:pPr>
        <w:spacing w:before="180"/>
      </w:pPr>
    </w:p>
    <w:p w:rsidR="005473D0" w:rsidRDefault="005473D0">
      <w:pPr>
        <w:pBdr>
          <w:bottom w:val="single" w:sz="8" w:space="1" w:color="1E88E5"/>
        </w:pBdr>
        <w:spacing w:after="180"/>
      </w:pPr>
    </w:p>
    <w:p w:rsidR="005473D0" w:rsidRDefault="00FD51F3">
      <w:pPr>
        <w:pStyle w:val="Heading1"/>
      </w:pPr>
      <w:r>
        <w:t>Executive Summary</w:t>
      </w:r>
    </w:p>
    <w:p w:rsidR="005473D0" w:rsidRDefault="00FD51F3">
      <w:pPr>
        <w:spacing w:before="80" w:after="80"/>
        <w:jc w:val="both"/>
      </w:pPr>
      <w:r>
        <w:t>Quantum technologies represent not a single transformative breakthrough, but a portfolio of domain-specific advances progressing at different rates across computing, secure communications, energy materials, and healthcare. This report provides a structured</w:t>
      </w:r>
      <w:r>
        <w:t xml:space="preserve"> assessment of each domain's current maturity, near-term deliverables, principal bottlenecks, and strategic priorities through 2040.</w:t>
      </w:r>
    </w:p>
    <w:p w:rsidR="005473D0" w:rsidRDefault="005473D0">
      <w:pPr>
        <w:spacing w:before="80"/>
      </w:pPr>
    </w:p>
    <w:p w:rsidR="005473D0" w:rsidRDefault="00FD51F3">
      <w:pPr>
        <w:spacing w:before="80" w:after="80"/>
        <w:jc w:val="both"/>
      </w:pPr>
      <w:r>
        <w:t>Three overarching themes define the current landscape:</w:t>
      </w:r>
    </w:p>
    <w:p w:rsidR="005473D0" w:rsidRDefault="005473D0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1" w:space="0" w:color="BBCFE8"/>
              <w:right w:val="none" w:sz="0" w:space="0" w:color="FFFFFF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5473D0" w:rsidRDefault="00FD51F3">
            <w:r>
              <w:rPr>
                <w:sz w:val="21"/>
                <w:szCs w:val="21"/>
              </w:rPr>
              <w:t>Quantum</w:t>
            </w:r>
            <w:r w:rsidR="001639CA">
              <w:rPr>
                <w:sz w:val="21"/>
                <w:szCs w:val="21"/>
              </w:rPr>
              <w:t xml:space="preserve"> advantage is real but </w:t>
            </w:r>
            <w:proofErr w:type="gramStart"/>
            <w:r w:rsidR="001639CA">
              <w:rPr>
                <w:sz w:val="21"/>
                <w:szCs w:val="21"/>
              </w:rPr>
              <w:t xml:space="preserve">narrow  </w:t>
            </w:r>
            <w:r>
              <w:rPr>
                <w:sz w:val="21"/>
                <w:szCs w:val="21"/>
              </w:rPr>
              <w:t>delivering</w:t>
            </w:r>
            <w:proofErr w:type="gramEnd"/>
            <w:r>
              <w:rPr>
                <w:sz w:val="21"/>
                <w:szCs w:val="21"/>
              </w:rPr>
              <w:t xml:space="preserve"> value in specialized subroutines rather than broad computational replacement.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38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1" w:space="0" w:color="BBCFE8"/>
              <w:right w:val="none" w:sz="0" w:space="0" w:color="FFFFFF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5473D0" w:rsidRDefault="00FD51F3">
            <w:r>
              <w:rPr>
                <w:sz w:val="21"/>
                <w:szCs w:val="21"/>
              </w:rPr>
              <w:t>The transition pe</w:t>
            </w:r>
            <w:r w:rsidR="001639CA">
              <w:rPr>
                <w:sz w:val="21"/>
                <w:szCs w:val="21"/>
              </w:rPr>
              <w:t>riod demands hybrid strategies</w:t>
            </w:r>
            <w:r>
              <w:rPr>
                <w:sz w:val="21"/>
                <w:szCs w:val="21"/>
              </w:rPr>
              <w:t xml:space="preserve"> combining quantum capabilities with classical systems and post-quantum cry</w:t>
            </w:r>
            <w:r>
              <w:rPr>
                <w:sz w:val="21"/>
                <w:szCs w:val="21"/>
              </w:rPr>
              <w:t>ptography.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A82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1" w:space="0" w:color="BBCFE8"/>
              <w:right w:val="none" w:sz="0" w:space="0" w:color="FFFFFF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5473D0" w:rsidRDefault="00FD51F3">
            <w:r>
              <w:rPr>
                <w:sz w:val="21"/>
                <w:szCs w:val="21"/>
              </w:rPr>
              <w:t>Materials and sensing advances will likely deliver the earliest and broadest societal benefits, preceding large-scale quantum computing.</w:t>
            </w:r>
          </w:p>
        </w:tc>
      </w:tr>
    </w:tbl>
    <w:p w:rsidR="005473D0" w:rsidRDefault="005473D0">
      <w:pPr>
        <w:spacing w:before="180"/>
      </w:pPr>
    </w:p>
    <w:p w:rsidR="005473D0" w:rsidRDefault="005473D0">
      <w:pPr>
        <w:pBdr>
          <w:bottom w:val="single" w:sz="8" w:space="1" w:color="1E88E5"/>
        </w:pBdr>
        <w:spacing w:after="180"/>
      </w:pPr>
    </w:p>
    <w:tbl>
      <w:tblPr>
        <w:tblW w:w="936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220" w:type="dxa"/>
              <w:left w:w="360" w:type="dxa"/>
              <w:bottom w:w="220" w:type="dxa"/>
              <w:right w:w="360" w:type="dxa"/>
            </w:tcMar>
          </w:tcPr>
          <w:p w:rsidR="005473D0" w:rsidRDefault="00FD51F3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⚙</w:t>
            </w:r>
            <w:r>
              <w:rPr>
                <w:b/>
                <w:bCs/>
                <w:color w:val="FFFFFF"/>
                <w:sz w:val="36"/>
                <w:szCs w:val="36"/>
              </w:rPr>
              <w:t>️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 Domain 1: Quantum Computing</w:t>
            </w:r>
          </w:p>
          <w:p w:rsidR="005473D0" w:rsidRDefault="00FD51F3">
            <w:r>
              <w:rPr>
                <w:i/>
                <w:iCs/>
                <w:color w:val="CCE0FF"/>
              </w:rPr>
              <w:t>Harnessing superposition and entanglement to solve intractable computational problems</w:t>
            </w:r>
          </w:p>
        </w:tc>
      </w:tr>
    </w:tbl>
    <w:p w:rsidR="005473D0" w:rsidRDefault="005473D0">
      <w:pPr>
        <w:spacing w:before="120"/>
      </w:pPr>
    </w:p>
    <w:p w:rsidR="005473D0" w:rsidRDefault="00FD51F3">
      <w:pPr>
        <w:pStyle w:val="Heading2"/>
      </w:pPr>
      <w:r>
        <w:t>Core Capability</w:t>
      </w:r>
    </w:p>
    <w:p w:rsidR="005473D0" w:rsidRDefault="00FD51F3">
      <w:pPr>
        <w:spacing w:before="80" w:after="80"/>
        <w:jc w:val="both"/>
      </w:pPr>
      <w:r>
        <w:t>Quantum computers encode and manipulate quantum bits (</w:t>
      </w:r>
      <w:proofErr w:type="spellStart"/>
      <w:r>
        <w:t>qubits</w:t>
      </w:r>
      <w:proofErr w:type="spellEnd"/>
      <w:r>
        <w:t xml:space="preserve">) exploiting superposition and entanglement to solve particular problems more efficiently than classical machines. The key insight is that </w:t>
      </w:r>
      <w:proofErr w:type="spellStart"/>
      <w:r>
        <w:t>qubits</w:t>
      </w:r>
      <w:proofErr w:type="spellEnd"/>
      <w:r>
        <w:t xml:space="preserve"> can represent multiple states simultaneously, enab</w:t>
      </w:r>
      <w:r>
        <w:t>ling parallelism that classical bits cannot replicate.</w:t>
      </w:r>
    </w:p>
    <w:p w:rsidR="005473D0" w:rsidRDefault="005473D0">
      <w:pPr>
        <w:spacing w:before="100"/>
      </w:pPr>
    </w:p>
    <w:p w:rsidR="005473D0" w:rsidRDefault="00FD51F3">
      <w:pPr>
        <w:pStyle w:val="Heading2"/>
      </w:pPr>
      <w:r>
        <w:t>Timeline &amp; Deliverables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7360"/>
      </w:tblGrid>
      <w:tr w:rsidR="005473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Expected Capabilities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Near-term 3–7 years (NISQ Era)</w:t>
            </w:r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proofErr w:type="spellStart"/>
            <w:r>
              <w:rPr>
                <w:sz w:val="20"/>
                <w:szCs w:val="20"/>
              </w:rPr>
              <w:t>Variational</w:t>
            </w:r>
            <w:proofErr w:type="spellEnd"/>
            <w:r>
              <w:rPr>
                <w:sz w:val="20"/>
                <w:szCs w:val="20"/>
              </w:rPr>
              <w:t xml:space="preserve"> algorithms (VQE, QAOA) for chemistry simulation and optimization heuristics. Quantum-classical hybrid pipelines. Limited demonstrations of quantum advantage on narrow tasks.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Mid-term 7–15 years</w:t>
            </w:r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Early fault-tolerant primitives. Useful acceleration for specific chemistry, optimization, and ML subroutines. Broader enterprise pilots and quantum-ready cryptography deployment.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Long-term 15–20+ years</w:t>
            </w:r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Fault-tolerant universal quantum computers. Exact molecular simulation at scales beyond classical reach. Exponential speedups for factorization and large linear systems. Transformative impact on drug discovery, cryptography, and optimization.</w:t>
            </w:r>
          </w:p>
        </w:tc>
      </w:tr>
    </w:tbl>
    <w:p w:rsidR="005473D0" w:rsidRDefault="005473D0">
      <w:pPr>
        <w:spacing w:before="140"/>
      </w:pPr>
    </w:p>
    <w:p w:rsidR="005473D0" w:rsidRDefault="00FD51F3">
      <w:pPr>
        <w:pStyle w:val="Heading2"/>
      </w:pPr>
      <w:r>
        <w:t>Key Technical Bottlenecks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1"/>
          <w:szCs w:val="21"/>
        </w:rPr>
        <w:t>Qubit</w:t>
      </w:r>
      <w:proofErr w:type="spellEnd"/>
      <w:r>
        <w:rPr>
          <w:sz w:val="21"/>
          <w:szCs w:val="21"/>
        </w:rPr>
        <w:t xml:space="preserve"> coherence and gate fidelity: maintaining quantum states long enough to complete computations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Scalable error correction: current logical </w:t>
      </w:r>
      <w:proofErr w:type="spellStart"/>
      <w:r>
        <w:rPr>
          <w:sz w:val="21"/>
          <w:szCs w:val="21"/>
        </w:rPr>
        <w:t>qubit</w:t>
      </w:r>
      <w:proofErr w:type="spellEnd"/>
      <w:r>
        <w:rPr>
          <w:sz w:val="21"/>
          <w:szCs w:val="21"/>
        </w:rPr>
        <w:t xml:space="preserve"> overhead (1000:1 physical-to-logical) remains prohibitive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Cryogenic infrastructure</w:t>
      </w:r>
      <w:r>
        <w:rPr>
          <w:sz w:val="21"/>
          <w:szCs w:val="21"/>
        </w:rPr>
        <w:t xml:space="preserve">: most platforms require </w:t>
      </w:r>
      <w:proofErr w:type="spellStart"/>
      <w:r>
        <w:rPr>
          <w:sz w:val="21"/>
          <w:szCs w:val="21"/>
        </w:rPr>
        <w:t>millikelvin</w:t>
      </w:r>
      <w:proofErr w:type="spellEnd"/>
      <w:r>
        <w:rPr>
          <w:sz w:val="21"/>
          <w:szCs w:val="21"/>
        </w:rPr>
        <w:t xml:space="preserve"> temperatures, constraining scale and cost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Software/hardware co-design: algorithm development must tightly track hardware capability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Workforce shortage and absence of unified standards across competing platforms</w:t>
      </w:r>
    </w:p>
    <w:p w:rsidR="005473D0" w:rsidRDefault="005473D0">
      <w:pPr>
        <w:spacing w:before="1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1"/>
        <w:gridCol w:w="8159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9080" w:type="dxa"/>
            <w:tcBorders>
              <w:top w:val="single" w:sz="1" w:space="0" w:color="1565C0"/>
              <w:left w:val="none" w:sz="0" w:space="0" w:color="FFFFFF"/>
              <w:bottom w:val="single" w:sz="1" w:space="0" w:color="1565C0"/>
              <w:right w:val="single" w:sz="1" w:space="0" w:color="BBCFE8"/>
            </w:tcBorders>
            <w:shd w:val="clear" w:color="auto" w:fill="EEF4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73D0" w:rsidRDefault="00FD51F3">
            <w:r>
              <w:rPr>
                <w:i/>
                <w:iCs/>
                <w:sz w:val="21"/>
                <w:szCs w:val="21"/>
              </w:rPr>
              <w:t>Invest now in hybrid algorithm development, quantum-ready cryptography migration, domain-specific benchmarking, and supply-chain development for control electronics.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tbl>
      <w:tblPr>
        <w:tblW w:w="936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38F"/>
            <w:tcMar>
              <w:top w:w="220" w:type="dxa"/>
              <w:left w:w="360" w:type="dxa"/>
              <w:bottom w:w="220" w:type="dxa"/>
              <w:right w:w="360" w:type="dxa"/>
            </w:tcMar>
          </w:tcPr>
          <w:p w:rsidR="005473D0" w:rsidRDefault="00FD51F3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🔒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 Domain 2: Quantum Communications &amp; Telecoms</w:t>
            </w:r>
          </w:p>
          <w:p w:rsidR="005473D0" w:rsidRDefault="00FD51F3">
            <w:r>
              <w:rPr>
                <w:i/>
                <w:iCs/>
                <w:color w:val="CCE0FF"/>
              </w:rPr>
              <w:t>Secure information transfer exploiting quantum effects across fiber, free-space, and satellite links</w:t>
            </w:r>
          </w:p>
        </w:tc>
      </w:tr>
    </w:tbl>
    <w:p w:rsidR="005473D0" w:rsidRDefault="005473D0">
      <w:pPr>
        <w:spacing w:before="120"/>
      </w:pPr>
    </w:p>
    <w:p w:rsidR="005473D0" w:rsidRDefault="00FD51F3">
      <w:pPr>
        <w:pStyle w:val="Heading2"/>
      </w:pPr>
      <w:r>
        <w:t>Core Capability</w:t>
      </w:r>
    </w:p>
    <w:p w:rsidR="005473D0" w:rsidRDefault="00FD51F3">
      <w:pPr>
        <w:spacing w:before="80" w:after="80"/>
        <w:jc w:val="both"/>
      </w:pPr>
      <w:r>
        <w:t>Quantum key distribution (QKD) enables information-theoretic key exchange, meaning security is guaranteed by the laws of physics rather than computational hardness. Unlike classical encryption, any eavesdropping attempt irreversibly disturbs the quantum ch</w:t>
      </w:r>
      <w:r>
        <w:t>annel, making it detectable.</w:t>
      </w:r>
    </w:p>
    <w:p w:rsidR="005473D0" w:rsidRDefault="005473D0">
      <w:pPr>
        <w:spacing w:before="100"/>
      </w:pPr>
    </w:p>
    <w:p w:rsidR="005473D0" w:rsidRDefault="00FD51F3">
      <w:pPr>
        <w:pStyle w:val="Heading2"/>
      </w:pPr>
      <w:r>
        <w:t>Maturity &amp; Deployment Status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6960"/>
      </w:tblGrid>
      <w:tr w:rsidR="005473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9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Status &amp; Notes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Point-to-point QKD</w:t>
            </w:r>
          </w:p>
        </w:tc>
        <w:tc>
          <w:tcPr>
            <w:tcW w:w="69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Commercially available. Operational city networks deployed in China, EU, and Japan.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Satellite QKD</w:t>
            </w:r>
          </w:p>
        </w:tc>
        <w:tc>
          <w:tcPr>
            <w:tcW w:w="69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Demonstrated globally (China'</w:t>
            </w:r>
            <w:r>
              <w:rPr>
                <w:sz w:val="20"/>
                <w:szCs w:val="20"/>
              </w:rPr>
              <w:t xml:space="preserve">s </w:t>
            </w:r>
            <w:proofErr w:type="spellStart"/>
            <w:r>
              <w:rPr>
                <w:sz w:val="20"/>
                <w:szCs w:val="20"/>
              </w:rPr>
              <w:t>Micius</w:t>
            </w:r>
            <w:proofErr w:type="spellEnd"/>
            <w:r>
              <w:rPr>
                <w:sz w:val="20"/>
                <w:szCs w:val="20"/>
              </w:rPr>
              <w:t xml:space="preserve"> satellite). Extends reach to intercontinental links.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 Repeaters</w:t>
            </w:r>
          </w:p>
        </w:tc>
        <w:tc>
          <w:tcPr>
            <w:tcW w:w="69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R&amp;D stage. Required to extend QKD beyond ~100km without trusted nodes.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 Internet</w:t>
            </w:r>
          </w:p>
        </w:tc>
        <w:tc>
          <w:tcPr>
            <w:tcW w:w="69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Long-term vision. Requires repeaters, entanglement swapping, and quantum memory.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Device-independent QKD</w:t>
            </w:r>
          </w:p>
        </w:tc>
        <w:tc>
          <w:tcPr>
            <w:tcW w:w="69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Research stage. Offers security independent of device trustworthiness.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Post-quantum Cryptography</w:t>
            </w:r>
          </w:p>
        </w:tc>
        <w:tc>
          <w:tcPr>
            <w:tcW w:w="69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Deployment underway (NIST-standardized algorithms). Complementary, not competitive.</w:t>
            </w:r>
          </w:p>
        </w:tc>
      </w:tr>
    </w:tbl>
    <w:p w:rsidR="005473D0" w:rsidRDefault="005473D0">
      <w:pPr>
        <w:spacing w:before="140"/>
      </w:pPr>
    </w:p>
    <w:p w:rsidR="005473D0" w:rsidRDefault="00FD51F3">
      <w:pPr>
        <w:pStyle w:val="Heading2"/>
      </w:pPr>
      <w:r>
        <w:t>Critical Limitations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color w:val="E65100"/>
          <w:sz w:val="21"/>
          <w:szCs w:val="21"/>
        </w:rPr>
        <w:t>Distance-limited by photon loss: fiber QKD effective range ~100–200km without repeaters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color w:val="E65100"/>
          <w:sz w:val="21"/>
          <w:szCs w:val="21"/>
        </w:rPr>
        <w:t>Trusted-node architectures introduce security weaknesses at relay points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color w:val="E65100"/>
          <w:sz w:val="21"/>
          <w:szCs w:val="21"/>
        </w:rPr>
        <w:t>High infrastructure cost limits deployment to high-security niches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color w:val="E65100"/>
          <w:sz w:val="21"/>
          <w:szCs w:val="21"/>
        </w:rPr>
        <w:t>Quantum repeaters require quantum memory with adequate storage times — still a research challenge</w:t>
      </w:r>
    </w:p>
    <w:p w:rsidR="005473D0" w:rsidRDefault="005473D0">
      <w:pPr>
        <w:spacing w:before="1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1"/>
        <w:gridCol w:w="8159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38F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9080" w:type="dxa"/>
            <w:tcBorders>
              <w:top w:val="single" w:sz="1" w:space="0" w:color="00838F"/>
              <w:left w:val="none" w:sz="0" w:space="0" w:color="FFFFFF"/>
              <w:bottom w:val="single" w:sz="1" w:space="0" w:color="00838F"/>
              <w:right w:val="single" w:sz="1" w:space="0" w:color="BBCFE8"/>
            </w:tcBorders>
            <w:shd w:val="clear" w:color="auto" w:fill="EEF9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73D0" w:rsidRDefault="00FD51F3">
            <w:r>
              <w:rPr>
                <w:i/>
                <w:iCs/>
                <w:sz w:val="21"/>
                <w:szCs w:val="21"/>
              </w:rPr>
              <w:t xml:space="preserve">Deploy layered security combining QKD where practical with post-quantum </w:t>
            </w:r>
            <w:r>
              <w:rPr>
                <w:i/>
                <w:iCs/>
                <w:sz w:val="21"/>
                <w:szCs w:val="21"/>
              </w:rPr>
              <w:lastRenderedPageBreak/>
              <w:t>cryptography during transition. Fund quantum repeater R&amp;D and push for inter</w:t>
            </w:r>
            <w:r>
              <w:rPr>
                <w:i/>
                <w:iCs/>
                <w:sz w:val="21"/>
                <w:szCs w:val="21"/>
              </w:rPr>
              <w:t>operable international standards.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tbl>
      <w:tblPr>
        <w:tblW w:w="936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A0"/>
            <w:tcMar>
              <w:top w:w="220" w:type="dxa"/>
              <w:left w:w="360" w:type="dxa"/>
              <w:bottom w:w="220" w:type="dxa"/>
              <w:right w:w="360" w:type="dxa"/>
            </w:tcMar>
          </w:tcPr>
          <w:p w:rsidR="005473D0" w:rsidRDefault="00FD51F3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⚡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 Domain 3: Quantum-Enabled Energy Technologies</w:t>
            </w:r>
          </w:p>
          <w:p w:rsidR="005473D0" w:rsidRDefault="00FD51F3">
            <w:r>
              <w:rPr>
                <w:i/>
                <w:iCs/>
                <w:color w:val="CCE0FF"/>
              </w:rPr>
              <w:t>Applying quantum science to materials and devices that improve energy conversion, storage, and sensing</w:t>
            </w:r>
          </w:p>
        </w:tc>
      </w:tr>
    </w:tbl>
    <w:p w:rsidR="005473D0" w:rsidRDefault="005473D0">
      <w:pPr>
        <w:spacing w:before="120"/>
      </w:pPr>
    </w:p>
    <w:p w:rsidR="005473D0" w:rsidRDefault="00FD51F3">
      <w:pPr>
        <w:pStyle w:val="Heading2"/>
      </w:pPr>
      <w:r>
        <w:t>Important Clarification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21"/>
        <w:gridCol w:w="8639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9080" w:type="dxa"/>
            <w:tcBorders>
              <w:top w:val="single" w:sz="1" w:space="0" w:color="E65100"/>
              <w:left w:val="none" w:sz="0" w:space="0" w:color="FFFFFF"/>
              <w:bottom w:val="single" w:sz="1" w:space="0" w:color="E65100"/>
              <w:right w:val="single" w:sz="1" w:space="0" w:color="BBCFE8"/>
            </w:tcBorders>
            <w:shd w:val="clear" w:color="auto" w:fill="FFF5E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73D0" w:rsidRDefault="00FD51F3">
            <w:r>
              <w:rPr>
                <w:i/>
                <w:iCs/>
                <w:sz w:val="21"/>
                <w:szCs w:val="21"/>
              </w:rPr>
              <w:t>Quantum energy technologies do not represent a new macroscopic energy source. Progress comes from applying quantum science to materials and devices — efficiency gains come from better physics, not from violating thermodynamic laws.</w:t>
            </w:r>
          </w:p>
        </w:tc>
      </w:tr>
    </w:tbl>
    <w:p w:rsidR="005473D0" w:rsidRDefault="005473D0">
      <w:pPr>
        <w:spacing w:before="120"/>
      </w:pPr>
    </w:p>
    <w:p w:rsidR="005473D0" w:rsidRDefault="00FD51F3">
      <w:pPr>
        <w:pStyle w:val="Heading2"/>
      </w:pPr>
      <w:r>
        <w:t>Application Areas &amp;</w:t>
      </w:r>
      <w:r>
        <w:t xml:space="preserve"> Timeline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5473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67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Description &amp; Outlook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Photovoltaics</w:t>
            </w:r>
            <w:proofErr w:type="spellEnd"/>
          </w:p>
        </w:tc>
        <w:tc>
          <w:tcPr>
            <w:tcW w:w="6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 xml:space="preserve">Quantum dots and </w:t>
            </w:r>
            <w:proofErr w:type="spellStart"/>
            <w:r>
              <w:rPr>
                <w:sz w:val="20"/>
                <w:szCs w:val="20"/>
              </w:rPr>
              <w:t>perovskites</w:t>
            </w:r>
            <w:proofErr w:type="spellEnd"/>
            <w:r>
              <w:rPr>
                <w:sz w:val="20"/>
                <w:szCs w:val="20"/>
              </w:rPr>
              <w:t xml:space="preserve"> engineered to increase solar cell efficiency beyond classical limits. Near-term commercialization underway.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Battery &amp; Storage</w:t>
            </w:r>
          </w:p>
        </w:tc>
        <w:tc>
          <w:tcPr>
            <w:tcW w:w="6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Quantum-informed materials discovery (DFT + quantum simulation) designing electrodes and electrolytes with higher capacity, safety, and cycle life.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Green Hydrogen &amp; Catalysis</w:t>
            </w:r>
          </w:p>
        </w:tc>
        <w:tc>
          <w:tcPr>
            <w:tcW w:w="6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Quantum-tailored catalysts for more efficient hydrogen production and CO2 reduction. Mid-term if simulation breakthroughs materialize.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Thermoelectrics</w:t>
            </w:r>
            <w:proofErr w:type="spellEnd"/>
          </w:p>
        </w:tc>
        <w:tc>
          <w:tcPr>
            <w:tcW w:w="6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Quantum-designed materials for waste-heat recovery. Niche but commercially relevant in automotive and industrial sectors.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Grid Sensing</w:t>
            </w:r>
          </w:p>
        </w:tc>
        <w:tc>
          <w:tcPr>
            <w:tcW w:w="6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High-precision quantum magnetometers for fault detection, power-quality monitoring, and predictive maintenance. Near-term deployment potential.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Room-T Superconductors</w:t>
            </w:r>
          </w:p>
        </w:tc>
        <w:tc>
          <w:tcPr>
            <w:tcW w:w="6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Highly speculative. Transformative if achieved, but no reliable timeline exists. Dependent on fundamental quantum simulation breakthroughs.</w:t>
            </w:r>
          </w:p>
        </w:tc>
      </w:tr>
    </w:tbl>
    <w:p w:rsidR="005473D0" w:rsidRDefault="005473D0">
      <w:pPr>
        <w:spacing w:before="1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1"/>
        <w:gridCol w:w="8159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A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9080" w:type="dxa"/>
            <w:tcBorders>
              <w:top w:val="single" w:sz="1" w:space="0" w:color="1565A0"/>
              <w:left w:val="none" w:sz="0" w:space="0" w:color="FFFFFF"/>
              <w:bottom w:val="single" w:sz="1" w:space="0" w:color="1565A0"/>
              <w:right w:val="single" w:sz="1" w:space="0" w:color="BBCFE8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73D0" w:rsidRDefault="00FD51F3">
            <w:r>
              <w:rPr>
                <w:i/>
                <w:iCs/>
                <w:sz w:val="21"/>
                <w:szCs w:val="21"/>
              </w:rPr>
              <w:t xml:space="preserve">Accelerate computational materials pipelines. Scale lab breakthroughs to </w:t>
            </w:r>
            <w:proofErr w:type="spellStart"/>
            <w:r>
              <w:rPr>
                <w:i/>
                <w:iCs/>
                <w:sz w:val="21"/>
                <w:szCs w:val="21"/>
              </w:rPr>
              <w:t>manufacturable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processes. Integrate quantum sensors into grid management operations early — this is the lowest-hanging fruit.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tbl>
      <w:tblPr>
        <w:tblW w:w="936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220" w:type="dxa"/>
              <w:left w:w="360" w:type="dxa"/>
              <w:bottom w:w="220" w:type="dxa"/>
              <w:right w:w="360" w:type="dxa"/>
            </w:tcMar>
          </w:tcPr>
          <w:p w:rsidR="005473D0" w:rsidRDefault="00FD51F3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🧬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 Domain 4: Quantum Health</w:t>
            </w:r>
          </w:p>
          <w:p w:rsidR="005473D0" w:rsidRDefault="00FD51F3">
            <w:r>
              <w:rPr>
                <w:i/>
                <w:iCs/>
                <w:color w:val="CCE0FF"/>
              </w:rPr>
              <w:t>Quantum sensing, imaging, and molecular simulation applied to medicine, diagnostics, and drug discovery</w:t>
            </w:r>
          </w:p>
        </w:tc>
      </w:tr>
    </w:tbl>
    <w:p w:rsidR="005473D0" w:rsidRDefault="005473D0">
      <w:pPr>
        <w:spacing w:before="120"/>
      </w:pPr>
    </w:p>
    <w:p w:rsidR="005473D0" w:rsidRDefault="00FD51F3">
      <w:pPr>
        <w:pStyle w:val="Heading2"/>
      </w:pPr>
      <w:r>
        <w:t>Core Capability</w:t>
      </w:r>
    </w:p>
    <w:p w:rsidR="005473D0" w:rsidRDefault="00FD51F3">
      <w:pPr>
        <w:spacing w:before="80" w:after="80"/>
        <w:jc w:val="both"/>
      </w:pPr>
      <w:r>
        <w:t xml:space="preserve">Quantum technologies enter healthcare through three primary vectors: ultra-sensitive quantum sensors for biological measurement, enhanced imaging modalities, and quantum chemistry simulation for molecular modeling in drug discovery. Unlike quantum </w:t>
      </w:r>
      <w:proofErr w:type="spellStart"/>
      <w:r>
        <w:t>computin</w:t>
      </w:r>
      <w:r>
        <w:t>g's</w:t>
      </w:r>
      <w:proofErr w:type="spellEnd"/>
      <w:r>
        <w:t xml:space="preserve"> distant </w:t>
      </w:r>
      <w:proofErr w:type="gramStart"/>
      <w:r>
        <w:t>timeline,</w:t>
      </w:r>
      <w:proofErr w:type="gramEnd"/>
      <w:r>
        <w:t xml:space="preserve"> some quantum sensing benefits are achievable within years.</w:t>
      </w:r>
    </w:p>
    <w:p w:rsidR="005473D0" w:rsidRDefault="005473D0">
      <w:pPr>
        <w:spacing w:before="100"/>
      </w:pPr>
    </w:p>
    <w:p w:rsidR="005473D0" w:rsidRDefault="00FD51F3">
      <w:pPr>
        <w:pStyle w:val="Heading2"/>
      </w:pPr>
      <w:r>
        <w:t>Application Landscape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5473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6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Description &amp; Timeline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NV-Centre Magnetometers</w:t>
            </w:r>
          </w:p>
        </w:tc>
        <w:tc>
          <w:tcPr>
            <w:tcW w:w="6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 xml:space="preserve">Diamond nitrogen-vacancy sensors enabling </w:t>
            </w:r>
            <w:proofErr w:type="spellStart"/>
            <w:r>
              <w:rPr>
                <w:sz w:val="20"/>
                <w:szCs w:val="20"/>
              </w:rPr>
              <w:t>nanoscale</w:t>
            </w:r>
            <w:proofErr w:type="spellEnd"/>
            <w:r>
              <w:rPr>
                <w:sz w:val="20"/>
                <w:szCs w:val="20"/>
              </w:rPr>
              <w:t xml:space="preserve"> detection of biological magnetic fields. Lab-to-clinic pathway underway.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Quantum-enhanced MRI</w:t>
            </w:r>
          </w:p>
        </w:tc>
        <w:tc>
          <w:tcPr>
            <w:tcW w:w="6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proofErr w:type="spellStart"/>
            <w:r>
              <w:rPr>
                <w:sz w:val="20"/>
                <w:szCs w:val="20"/>
              </w:rPr>
              <w:t>Hyperpolarization</w:t>
            </w:r>
            <w:proofErr w:type="spellEnd"/>
            <w:r>
              <w:rPr>
                <w:sz w:val="20"/>
                <w:szCs w:val="20"/>
              </w:rPr>
              <w:t xml:space="preserve"> techniques increasing MRI sensitivity by orders of magnitude. Lower-field, faster metabolic imaging in mid-term.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MEG &amp; EEG Enhancement</w:t>
            </w:r>
          </w:p>
        </w:tc>
        <w:tc>
          <w:tcPr>
            <w:tcW w:w="6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Quantum sensors for brain imaging with superior spatial resolution and sensitivity versus classical alternatives.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 xml:space="preserve">Drug Discovery (Quantum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Sim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Quantum simulation of molecular binding and reaction pathways. Near-term hybrid classical–quantum workflows; full advantage in 10–20 years.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Point-of-Care Diagnostics</w:t>
            </w:r>
          </w:p>
        </w:tc>
        <w:tc>
          <w:tcPr>
            <w:tcW w:w="6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Quantum sensors for metabolite and pathogen detection with superior sensitivity. Mid-term with manufacturing scale-up.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Secure Medical Data (QKD)</w:t>
            </w:r>
          </w:p>
        </w:tc>
        <w:tc>
          <w:tcPr>
            <w:tcW w:w="6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Information-theoretic secure transfer of patient records and genomic data. Niche deployment now; broader adoption as infrastructure matures.</w:t>
            </w:r>
          </w:p>
        </w:tc>
      </w:tr>
    </w:tbl>
    <w:p w:rsidR="005473D0" w:rsidRDefault="005473D0">
      <w:pPr>
        <w:spacing w:before="140"/>
      </w:pPr>
    </w:p>
    <w:p w:rsidR="005473D0" w:rsidRDefault="00FD51F3">
      <w:pPr>
        <w:pStyle w:val="Heading2"/>
      </w:pPr>
      <w:r>
        <w:t>Structural Limitations in Healthcare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Biological sy</w:t>
      </w:r>
      <w:r w:rsidR="001639CA">
        <w:rPr>
          <w:sz w:val="21"/>
          <w:szCs w:val="21"/>
        </w:rPr>
        <w:t xml:space="preserve">stems are warm, wet, and noisy </w:t>
      </w:r>
      <w:r>
        <w:rPr>
          <w:sz w:val="21"/>
          <w:szCs w:val="21"/>
        </w:rPr>
        <w:t xml:space="preserve"> fundamentally challenging for fragile quantum states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Clinical translation requires rigorous validation trials, regulatory approval, and significant cost reduction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Quantum advantage in drug discovery will be inc</w:t>
      </w:r>
      <w:r>
        <w:rPr>
          <w:sz w:val="21"/>
          <w:szCs w:val="21"/>
        </w:rPr>
        <w:t>remental and domain-specific, not universal</w:t>
      </w:r>
    </w:p>
    <w:p w:rsidR="005473D0" w:rsidRDefault="00FD51F3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Manufacturing scale-up from lab prototype to clinical device is a major engineering challenge</w:t>
      </w:r>
    </w:p>
    <w:p w:rsidR="005473D0" w:rsidRDefault="005473D0">
      <w:pPr>
        <w:spacing w:before="1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1"/>
        <w:gridCol w:w="8159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9080" w:type="dxa"/>
            <w:tcBorders>
              <w:top w:val="single" w:sz="1" w:space="0" w:color="6A1B9A"/>
              <w:left w:val="none" w:sz="0" w:space="0" w:color="FFFFFF"/>
              <w:bottom w:val="single" w:sz="1" w:space="0" w:color="6A1B9A"/>
              <w:right w:val="single" w:sz="1" w:space="0" w:color="BBCFE8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73D0" w:rsidRDefault="00FD51F3">
            <w:r>
              <w:rPr>
                <w:i/>
                <w:iCs/>
                <w:sz w:val="21"/>
                <w:szCs w:val="21"/>
              </w:rPr>
              <w:t>Prioritize clinically validated quantum sensing and imaging devices. Invest in quantum chemistry methods for drug discovery. Establish regulatory standards for clinical quantum device testing before the market scales.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p w:rsidR="005473D0" w:rsidRDefault="00FD51F3">
      <w:pPr>
        <w:pStyle w:val="Heading1"/>
      </w:pPr>
      <w:r>
        <w:t>Cross-Cutting Enablers</w:t>
      </w:r>
    </w:p>
    <w:p w:rsidR="005473D0" w:rsidRDefault="00FD51F3">
      <w:pPr>
        <w:spacing w:before="80" w:after="80"/>
        <w:jc w:val="both"/>
      </w:pPr>
      <w:r>
        <w:t>All four domains share a set of foundational enabling technologies and societal preconditions that must advance in parallel with domain-specific research. Progress in any one domain is constrained by the slowest-moving enabler.</w:t>
      </w:r>
    </w:p>
    <w:p w:rsidR="005473D0" w:rsidRDefault="005473D0">
      <w:pPr>
        <w:spacing w:before="1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0"/>
        <w:gridCol w:w="2340"/>
        <w:gridCol w:w="2340"/>
        <w:gridCol w:w="234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0" w:space="0" w:color="1565C0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80"/>
            </w:pPr>
            <w:r>
              <w:rPr>
                <w:b/>
                <w:bCs/>
                <w:color w:val="1565C0"/>
                <w:sz w:val="21"/>
                <w:szCs w:val="21"/>
              </w:rPr>
              <w:t>Materials &amp; Fabrication</w:t>
            </w:r>
          </w:p>
          <w:p w:rsidR="005473D0" w:rsidRDefault="00FD51F3">
            <w:r>
              <w:rPr>
                <w:color w:val="4A5568"/>
                <w:sz w:val="19"/>
                <w:szCs w:val="19"/>
              </w:rPr>
              <w:t xml:space="preserve">Advanced quantum materials, photonic integration, </w:t>
            </w:r>
            <w:proofErr w:type="spellStart"/>
            <w:r>
              <w:rPr>
                <w:color w:val="4A5568"/>
                <w:sz w:val="19"/>
                <w:szCs w:val="19"/>
              </w:rPr>
              <w:t>nano</w:t>
            </w:r>
            <w:proofErr w:type="spellEnd"/>
            <w:r>
              <w:rPr>
                <w:color w:val="4A5568"/>
                <w:sz w:val="19"/>
                <w:szCs w:val="19"/>
              </w:rPr>
              <w:t>-fabrication at scale</w:t>
            </w:r>
          </w:p>
        </w:tc>
        <w:tc>
          <w:tcPr>
            <w:tcW w:w="2340" w:type="dxa"/>
            <w:tcBorders>
              <w:top w:val="single" w:sz="10" w:space="0" w:color="00838F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80"/>
            </w:pPr>
            <w:r>
              <w:rPr>
                <w:b/>
                <w:bCs/>
                <w:color w:val="00838F"/>
                <w:sz w:val="21"/>
                <w:szCs w:val="21"/>
              </w:rPr>
              <w:t>Cryogenics &amp; Control Electronics</w:t>
            </w:r>
          </w:p>
          <w:p w:rsidR="005473D0" w:rsidRDefault="00FD51F3">
            <w:r>
              <w:rPr>
                <w:color w:val="4A5568"/>
                <w:sz w:val="19"/>
                <w:szCs w:val="19"/>
              </w:rPr>
              <w:t>Scalable dilution refrigerators, low-latency classical control, packaging standards</w:t>
            </w:r>
          </w:p>
        </w:tc>
        <w:tc>
          <w:tcPr>
            <w:tcW w:w="2340" w:type="dxa"/>
            <w:tcBorders>
              <w:top w:val="single" w:sz="10" w:space="0" w:color="1565A0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80"/>
            </w:pPr>
            <w:r>
              <w:rPr>
                <w:b/>
                <w:bCs/>
                <w:color w:val="1565A0"/>
                <w:sz w:val="21"/>
                <w:szCs w:val="21"/>
              </w:rPr>
              <w:t>Workforce &amp; Education</w:t>
            </w:r>
          </w:p>
          <w:p w:rsidR="005473D0" w:rsidRDefault="00FD51F3">
            <w:r>
              <w:rPr>
                <w:color w:val="4A5568"/>
                <w:sz w:val="19"/>
                <w:szCs w:val="19"/>
              </w:rPr>
              <w:t>Quantum-literate engineers, open benchmar</w:t>
            </w:r>
            <w:r>
              <w:rPr>
                <w:color w:val="4A5568"/>
                <w:sz w:val="19"/>
                <w:szCs w:val="19"/>
              </w:rPr>
              <w:t>ks, reproducible hardware/software stacks</w:t>
            </w:r>
          </w:p>
        </w:tc>
        <w:tc>
          <w:tcPr>
            <w:tcW w:w="2340" w:type="dxa"/>
            <w:tcBorders>
              <w:top w:val="single" w:sz="10" w:space="0" w:color="6A1B9A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473D0" w:rsidRDefault="00FD51F3">
            <w:pPr>
              <w:spacing w:after="80"/>
            </w:pPr>
            <w:r>
              <w:rPr>
                <w:b/>
                <w:bCs/>
                <w:color w:val="6A1B9A"/>
                <w:sz w:val="21"/>
                <w:szCs w:val="21"/>
              </w:rPr>
              <w:t>Standards &amp; Governance</w:t>
            </w:r>
          </w:p>
          <w:p w:rsidR="005473D0" w:rsidRDefault="00FD51F3">
            <w:r>
              <w:rPr>
                <w:color w:val="4A5568"/>
                <w:sz w:val="19"/>
                <w:szCs w:val="19"/>
              </w:rPr>
              <w:t>Interoperable protocols, export controls, privacy frameworks, ethics oversight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p w:rsidR="005473D0" w:rsidRDefault="00FD51F3">
      <w:pPr>
        <w:pStyle w:val="Heading1"/>
      </w:pPr>
      <w:r>
        <w:t>Strategic Outlook: 2030–2040</w:t>
      </w:r>
    </w:p>
    <w:p w:rsidR="005473D0" w:rsidRDefault="00FD51F3">
      <w:pPr>
        <w:spacing w:before="80" w:after="80"/>
        <w:jc w:val="both"/>
      </w:pPr>
      <w:r>
        <w:t>Based on current trajectories, engineering progress, and investment momentum, the following developments are assessed as likely within the stated windows. Uncertainty bands are wide; the table reflects consensus expert view, not guaranteed outcomes.</w:t>
      </w:r>
    </w:p>
    <w:p w:rsidR="005473D0" w:rsidRDefault="005473D0">
      <w:pPr>
        <w:spacing w:before="12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5160"/>
        <w:gridCol w:w="2200"/>
      </w:tblGrid>
      <w:tr w:rsidR="005473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Milestone by 2030–2040</w:t>
            </w:r>
          </w:p>
        </w:tc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 Computing</w:t>
            </w:r>
          </w:p>
        </w:tc>
        <w:tc>
          <w:tcPr>
            <w:tcW w:w="5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>NISQ processors delivering useful domain-limited acceleration in chemistry, optimization, and ML; early fault-tolerant primitive demonstrations by 2035–2040.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color w:val="00838F"/>
                <w:sz w:val="20"/>
                <w:szCs w:val="20"/>
              </w:rPr>
              <w:t>Moderate-High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 Telecoms</w:t>
            </w:r>
          </w:p>
        </w:tc>
        <w:tc>
          <w:tcPr>
            <w:tcW w:w="5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 xml:space="preserve">Widespread QKD in high-security niches (finance, defense, government); hybrid post-quantum + QKD </w:t>
            </w:r>
            <w:proofErr w:type="gramStart"/>
            <w:r>
              <w:rPr>
                <w:sz w:val="20"/>
                <w:szCs w:val="20"/>
              </w:rPr>
              <w:t>stacks</w:t>
            </w:r>
            <w:proofErr w:type="gramEnd"/>
            <w:r>
              <w:rPr>
                <w:sz w:val="20"/>
                <w:szCs w:val="20"/>
              </w:rPr>
              <w:t xml:space="preserve"> in production.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High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 Energy</w:t>
            </w:r>
          </w:p>
        </w:tc>
        <w:tc>
          <w:tcPr>
            <w:tcW w:w="5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 xml:space="preserve">Quantum-driven materials entering pilot manufacturing (advanced batteries, </w:t>
            </w:r>
            <w:proofErr w:type="spellStart"/>
            <w:r>
              <w:rPr>
                <w:sz w:val="20"/>
                <w:szCs w:val="20"/>
              </w:rPr>
              <w:t>photovoltaics</w:t>
            </w:r>
            <w:proofErr w:type="spellEnd"/>
            <w:r>
              <w:rPr>
                <w:sz w:val="20"/>
                <w:szCs w:val="20"/>
              </w:rPr>
              <w:t>, catalysts); quantum sensors in grid operations.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color w:val="E65100"/>
                <w:sz w:val="20"/>
                <w:szCs w:val="20"/>
              </w:rPr>
              <w:t>Moderate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1565C0"/>
                <w:sz w:val="20"/>
                <w:szCs w:val="20"/>
              </w:rPr>
              <w:t>Quantum Health</w:t>
            </w:r>
          </w:p>
        </w:tc>
        <w:tc>
          <w:tcPr>
            <w:tcW w:w="5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sz w:val="20"/>
                <w:szCs w:val="20"/>
              </w:rPr>
              <w:t xml:space="preserve">Clinically validated quantum sensing and imaging devices in selected medical applications; quantum </w:t>
            </w:r>
            <w:proofErr w:type="gramStart"/>
            <w:r>
              <w:rPr>
                <w:sz w:val="20"/>
                <w:szCs w:val="20"/>
              </w:rPr>
              <w:lastRenderedPageBreak/>
              <w:t>chemistry accelerating</w:t>
            </w:r>
            <w:proofErr w:type="gramEnd"/>
            <w:r>
              <w:rPr>
                <w:sz w:val="20"/>
                <w:szCs w:val="20"/>
              </w:rPr>
              <w:t xml:space="preserve"> drug discovery pipelines.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pPr>
              <w:jc w:val="center"/>
            </w:pPr>
            <w:r>
              <w:rPr>
                <w:color w:val="E65100"/>
                <w:sz w:val="20"/>
                <w:szCs w:val="20"/>
              </w:rPr>
              <w:lastRenderedPageBreak/>
              <w:t>Moderate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p w:rsidR="005473D0" w:rsidRDefault="00FD51F3">
      <w:pPr>
        <w:pStyle w:val="Heading1"/>
      </w:pPr>
      <w:r>
        <w:t>Risks, Limitations &amp; Mitigations</w:t>
      </w:r>
    </w:p>
    <w:p w:rsidR="005473D0" w:rsidRDefault="005473D0">
      <w:pPr>
        <w:spacing w:before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3580"/>
        <w:gridCol w:w="3180"/>
      </w:tblGrid>
      <w:tr w:rsidR="005473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  <w:tc>
          <w:tcPr>
            <w:tcW w:w="31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E65100"/>
                <w:sz w:val="19"/>
                <w:szCs w:val="19"/>
              </w:rPr>
              <w:t>Cryptographic vulnerability</w:t>
            </w:r>
          </w:p>
        </w:tc>
        <w:tc>
          <w:tcPr>
            <w:tcW w:w="35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proofErr w:type="spellStart"/>
            <w:r>
              <w:rPr>
                <w:sz w:val="19"/>
                <w:szCs w:val="19"/>
              </w:rPr>
              <w:t>Shor'</w:t>
            </w:r>
            <w:r>
              <w:rPr>
                <w:sz w:val="19"/>
                <w:szCs w:val="19"/>
              </w:rPr>
              <w:t>s</w:t>
            </w:r>
            <w:proofErr w:type="spellEnd"/>
            <w:r>
              <w:rPr>
                <w:sz w:val="19"/>
                <w:szCs w:val="19"/>
              </w:rPr>
              <w:t xml:space="preserve"> algorithm threatens RSA and ECC encryption at scale</w:t>
            </w:r>
          </w:p>
        </w:tc>
        <w:tc>
          <w:tcPr>
            <w:tcW w:w="31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color w:val="2E7D32"/>
                <w:sz w:val="19"/>
                <w:szCs w:val="19"/>
              </w:rPr>
              <w:t>Deploy post-quantum cryptography now; migrate critical infrastructure before fault-tolerant QC arrives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E65100"/>
                <w:sz w:val="19"/>
                <w:szCs w:val="19"/>
              </w:rPr>
              <w:t>Timeline overestimation</w:t>
            </w:r>
          </w:p>
        </w:tc>
        <w:tc>
          <w:tcPr>
            <w:tcW w:w="35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19"/>
                <w:szCs w:val="19"/>
              </w:rPr>
              <w:t>Overhyped timelines cause misallocation of capital and talent</w:t>
            </w:r>
          </w:p>
        </w:tc>
        <w:tc>
          <w:tcPr>
            <w:tcW w:w="31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color w:val="2E7D32"/>
                <w:sz w:val="19"/>
                <w:szCs w:val="19"/>
              </w:rPr>
              <w:t>Benchmark against specific engineering milestones, not speculative claims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E65100"/>
                <w:sz w:val="19"/>
                <w:szCs w:val="19"/>
              </w:rPr>
              <w:t>Error correction bottleneck</w:t>
            </w:r>
          </w:p>
        </w:tc>
        <w:tc>
          <w:tcPr>
            <w:tcW w:w="35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19"/>
                <w:szCs w:val="19"/>
              </w:rPr>
              <w:t xml:space="preserve">Logical </w:t>
            </w:r>
            <w:proofErr w:type="spellStart"/>
            <w:r>
              <w:rPr>
                <w:sz w:val="19"/>
                <w:szCs w:val="19"/>
              </w:rPr>
              <w:t>qubit</w:t>
            </w:r>
            <w:proofErr w:type="spellEnd"/>
            <w:r>
              <w:rPr>
                <w:sz w:val="19"/>
                <w:szCs w:val="19"/>
              </w:rPr>
              <w:t xml:space="preserve"> overhead may delay fault-tolerant QC beyond 2040</w:t>
            </w:r>
          </w:p>
        </w:tc>
        <w:tc>
          <w:tcPr>
            <w:tcW w:w="31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color w:val="2E7D32"/>
                <w:sz w:val="19"/>
                <w:szCs w:val="19"/>
              </w:rPr>
              <w:t xml:space="preserve">Invest in error correction research and alternative </w:t>
            </w:r>
            <w:proofErr w:type="spellStart"/>
            <w:r>
              <w:rPr>
                <w:color w:val="2E7D32"/>
                <w:sz w:val="19"/>
                <w:szCs w:val="19"/>
              </w:rPr>
              <w:t>qubit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modalities in parallel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E65100"/>
                <w:sz w:val="19"/>
                <w:szCs w:val="19"/>
              </w:rPr>
              <w:t>Energy use of cryogenics</w:t>
            </w:r>
          </w:p>
        </w:tc>
        <w:tc>
          <w:tcPr>
            <w:tcW w:w="35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19"/>
                <w:szCs w:val="19"/>
              </w:rPr>
              <w:t>Large-scale quantum computing infrastructure has significant energy footprint</w:t>
            </w:r>
          </w:p>
        </w:tc>
        <w:tc>
          <w:tcPr>
            <w:tcW w:w="31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color w:val="2E7D32"/>
                <w:sz w:val="19"/>
                <w:szCs w:val="19"/>
              </w:rPr>
              <w:t>Factor lifecycle energy cost into deployment decisions; explore room-temp platforms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E65100"/>
                <w:sz w:val="19"/>
                <w:szCs w:val="19"/>
              </w:rPr>
              <w:t>National security / export</w:t>
            </w:r>
          </w:p>
        </w:tc>
        <w:tc>
          <w:tcPr>
            <w:tcW w:w="35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19"/>
                <w:szCs w:val="19"/>
              </w:rPr>
              <w:t>Quantum capabilities are dual-use with significant geopolitical implications</w:t>
            </w:r>
          </w:p>
        </w:tc>
        <w:tc>
          <w:tcPr>
            <w:tcW w:w="31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color w:val="2E7D32"/>
                <w:sz w:val="19"/>
                <w:szCs w:val="19"/>
              </w:rPr>
              <w:t>Develop governance frameworks, export controls, and international norms proactively</w:t>
            </w:r>
          </w:p>
        </w:tc>
      </w:tr>
      <w:tr w:rsidR="005473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b/>
                <w:bCs/>
                <w:color w:val="E65100"/>
                <w:sz w:val="19"/>
                <w:szCs w:val="19"/>
              </w:rPr>
              <w:t>Lab-to-clinic translation</w:t>
            </w:r>
          </w:p>
        </w:tc>
        <w:tc>
          <w:tcPr>
            <w:tcW w:w="35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sz w:val="19"/>
                <w:szCs w:val="19"/>
              </w:rPr>
              <w:t>Healthcare quantum devices face regulatory and manufacturing barriers</w:t>
            </w:r>
          </w:p>
        </w:tc>
        <w:tc>
          <w:tcPr>
            <w:tcW w:w="318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9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5473D0" w:rsidRDefault="00FD51F3">
            <w:r>
              <w:rPr>
                <w:color w:val="2E7D32"/>
                <w:sz w:val="19"/>
                <w:szCs w:val="19"/>
              </w:rPr>
              <w:t>Establish clinical testing standards and manufacturing R&amp;D programs early</w:t>
            </w:r>
          </w:p>
        </w:tc>
      </w:tr>
    </w:tbl>
    <w:p w:rsidR="005473D0" w:rsidRDefault="005473D0">
      <w:pPr>
        <w:spacing w:before="200"/>
      </w:pPr>
    </w:p>
    <w:p w:rsidR="005473D0" w:rsidRDefault="005473D0">
      <w:pPr>
        <w:pBdr>
          <w:bottom w:val="single" w:sz="8" w:space="1" w:color="1E88E5"/>
        </w:pBdr>
        <w:spacing w:after="180"/>
      </w:pPr>
    </w:p>
    <w:p w:rsidR="005473D0" w:rsidRDefault="00FD51F3">
      <w:pPr>
        <w:pStyle w:val="Heading1"/>
      </w:pPr>
      <w:r>
        <w:t>Concise Takeaway</w:t>
      </w:r>
    </w:p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473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9A825"/>
              <w:left w:val="none" w:sz="0" w:space="0" w:color="FFFFFF"/>
              <w:bottom w:val="single" w:sz="12" w:space="0" w:color="F9A825"/>
              <w:right w:val="none" w:sz="0" w:space="0" w:color="FFFFFF"/>
            </w:tcBorders>
            <w:shd w:val="clear" w:color="auto" w:fill="FFFFFF"/>
            <w:tcMar>
              <w:top w:w="240" w:type="dxa"/>
              <w:left w:w="400" w:type="dxa"/>
              <w:bottom w:w="240" w:type="dxa"/>
              <w:right w:w="400" w:type="dxa"/>
            </w:tcMar>
          </w:tcPr>
          <w:p w:rsidR="005473D0" w:rsidRDefault="00FD51F3">
            <w:pPr>
              <w:spacing w:after="140"/>
              <w:jc w:val="center"/>
            </w:pPr>
            <w:r>
              <w:rPr>
                <w:b/>
                <w:bCs/>
                <w:color w:val="0A1628"/>
                <w:sz w:val="28"/>
                <w:szCs w:val="28"/>
              </w:rPr>
              <w:t>Quantum technologies will not deliver a single revolution.</w:t>
            </w:r>
          </w:p>
          <w:p w:rsidR="005473D0" w:rsidRDefault="00FD51F3">
            <w:pPr>
              <w:jc w:val="both"/>
            </w:pPr>
            <w:r>
              <w:t xml:space="preserve">They represent a portfolio of advances: specialized quantum computers for simulation and selected algorithms; secure quantum communication layers; quantum-enhanced materials, energy-conversion, and sensing; and targeted healthcare applications in imaging, </w:t>
            </w:r>
            <w:r>
              <w:t>diagnostics, and drug discovery. Progress depends on solving engineering scale-up, error correction, manufacturability, and integrating quantum tools with classical systems and regulatory frameworks.</w:t>
            </w:r>
          </w:p>
        </w:tc>
      </w:tr>
    </w:tbl>
    <w:p w:rsidR="005473D0" w:rsidRDefault="005473D0">
      <w:pPr>
        <w:spacing w:before="160"/>
      </w:pPr>
    </w:p>
    <w:sectPr w:rsidR="005473D0" w:rsidSect="005473D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51F3" w:rsidRDefault="00FD51F3" w:rsidP="005473D0">
      <w:r>
        <w:separator/>
      </w:r>
    </w:p>
  </w:endnote>
  <w:endnote w:type="continuationSeparator" w:id="0">
    <w:p w:rsidR="00FD51F3" w:rsidRDefault="00FD51F3" w:rsidP="005473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3D0" w:rsidRDefault="00FD51F3">
    <w:pPr>
      <w:pBdr>
        <w:top w:val="single" w:sz="4" w:space="1" w:color="1E88E5"/>
      </w:pBdr>
      <w:tabs>
        <w:tab w:val="right" w:pos="9360"/>
      </w:tabs>
      <w:spacing w:before="100"/>
    </w:pPr>
    <w:r>
      <w:rPr>
        <w:color w:val="637087"/>
        <w:sz w:val="18"/>
        <w:szCs w:val="18"/>
      </w:rPr>
      <w:t>Confidential — For Strategic Use Only</w:t>
    </w:r>
    <w:r>
      <w:rPr>
        <w:color w:val="637087"/>
        <w:sz w:val="18"/>
        <w:szCs w:val="18"/>
      </w:rPr>
      <w:tab/>
    </w:r>
    <w:r>
      <w:rPr>
        <w:i/>
        <w:iCs/>
        <w:color w:val="637087"/>
        <w:sz w:val="17"/>
        <w:szCs w:val="17"/>
      </w:rPr>
      <w:t>Quantum Technologies: Computing | Telecoms | Energy | Health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51F3" w:rsidRDefault="00FD51F3" w:rsidP="005473D0">
      <w:r>
        <w:separator/>
      </w:r>
    </w:p>
  </w:footnote>
  <w:footnote w:type="continuationSeparator" w:id="0">
    <w:p w:rsidR="00FD51F3" w:rsidRDefault="00FD51F3" w:rsidP="005473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3D0" w:rsidRDefault="00FD51F3">
    <w:pPr>
      <w:pBdr>
        <w:bottom w:val="single" w:sz="4" w:space="1" w:color="1E88E5"/>
      </w:pBdr>
      <w:tabs>
        <w:tab w:val="right" w:pos="9360"/>
      </w:tabs>
      <w:spacing w:after="100"/>
    </w:pPr>
    <w:r>
      <w:rPr>
        <w:b/>
        <w:bCs/>
        <w:color w:val="1565C0"/>
        <w:sz w:val="18"/>
        <w:szCs w:val="18"/>
      </w:rPr>
      <w:t>QUANTUM TECHNOLOGY ANALYSIS REPORT</w:t>
    </w:r>
    <w:r>
      <w:rPr>
        <w:color w:val="637087"/>
        <w:sz w:val="18"/>
        <w:szCs w:val="18"/>
      </w:rPr>
      <w:tab/>
      <w:t>2025 Strategic Assessment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B1EE0"/>
    <w:multiLevelType w:val="hybridMultilevel"/>
    <w:tmpl w:val="B4A25276"/>
    <w:lvl w:ilvl="0" w:tplc="07B8844E">
      <w:start w:val="1"/>
      <w:numFmt w:val="bullet"/>
      <w:lvlText w:val="●"/>
      <w:lvlJc w:val="left"/>
      <w:pPr>
        <w:ind w:left="720" w:hanging="360"/>
      </w:pPr>
    </w:lvl>
    <w:lvl w:ilvl="1" w:tplc="1B1ED076">
      <w:start w:val="1"/>
      <w:numFmt w:val="bullet"/>
      <w:lvlText w:val="○"/>
      <w:lvlJc w:val="left"/>
      <w:pPr>
        <w:ind w:left="1440" w:hanging="360"/>
      </w:pPr>
    </w:lvl>
    <w:lvl w:ilvl="2" w:tplc="FB6882DA">
      <w:start w:val="1"/>
      <w:numFmt w:val="bullet"/>
      <w:lvlText w:val="■"/>
      <w:lvlJc w:val="left"/>
      <w:pPr>
        <w:ind w:left="2160" w:hanging="360"/>
      </w:pPr>
    </w:lvl>
    <w:lvl w:ilvl="3" w:tplc="54F8FE86">
      <w:start w:val="1"/>
      <w:numFmt w:val="bullet"/>
      <w:lvlText w:val="●"/>
      <w:lvlJc w:val="left"/>
      <w:pPr>
        <w:ind w:left="2880" w:hanging="360"/>
      </w:pPr>
    </w:lvl>
    <w:lvl w:ilvl="4" w:tplc="01CA190A">
      <w:start w:val="1"/>
      <w:numFmt w:val="bullet"/>
      <w:lvlText w:val="○"/>
      <w:lvlJc w:val="left"/>
      <w:pPr>
        <w:ind w:left="3600" w:hanging="360"/>
      </w:pPr>
    </w:lvl>
    <w:lvl w:ilvl="5" w:tplc="D55E1E5A">
      <w:start w:val="1"/>
      <w:numFmt w:val="bullet"/>
      <w:lvlText w:val="■"/>
      <w:lvlJc w:val="left"/>
      <w:pPr>
        <w:ind w:left="4320" w:hanging="360"/>
      </w:pPr>
    </w:lvl>
    <w:lvl w:ilvl="6" w:tplc="CB563C68">
      <w:start w:val="1"/>
      <w:numFmt w:val="bullet"/>
      <w:lvlText w:val="●"/>
      <w:lvlJc w:val="left"/>
      <w:pPr>
        <w:ind w:left="5040" w:hanging="360"/>
      </w:pPr>
    </w:lvl>
    <w:lvl w:ilvl="7" w:tplc="D330934E">
      <w:start w:val="1"/>
      <w:numFmt w:val="bullet"/>
      <w:lvlText w:val="●"/>
      <w:lvlJc w:val="left"/>
      <w:pPr>
        <w:ind w:left="5760" w:hanging="360"/>
      </w:pPr>
    </w:lvl>
    <w:lvl w:ilvl="8" w:tplc="AB16D62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ABB06A3"/>
    <w:multiLevelType w:val="hybridMultilevel"/>
    <w:tmpl w:val="830E2ED4"/>
    <w:lvl w:ilvl="0" w:tplc="DC040F6E">
      <w:start w:val="1"/>
      <w:numFmt w:val="bullet"/>
      <w:lvlText w:val="•"/>
      <w:lvlJc w:val="left"/>
      <w:pPr>
        <w:ind w:left="640" w:hanging="360"/>
      </w:pPr>
    </w:lvl>
    <w:lvl w:ilvl="1" w:tplc="57C0CB90">
      <w:numFmt w:val="decimal"/>
      <w:lvlText w:val=""/>
      <w:lvlJc w:val="left"/>
    </w:lvl>
    <w:lvl w:ilvl="2" w:tplc="E320C004">
      <w:numFmt w:val="decimal"/>
      <w:lvlText w:val=""/>
      <w:lvlJc w:val="left"/>
    </w:lvl>
    <w:lvl w:ilvl="3" w:tplc="E82692AE">
      <w:numFmt w:val="decimal"/>
      <w:lvlText w:val=""/>
      <w:lvlJc w:val="left"/>
    </w:lvl>
    <w:lvl w:ilvl="4" w:tplc="A8009088">
      <w:numFmt w:val="decimal"/>
      <w:lvlText w:val=""/>
      <w:lvlJc w:val="left"/>
    </w:lvl>
    <w:lvl w:ilvl="5" w:tplc="31DE74E4">
      <w:numFmt w:val="decimal"/>
      <w:lvlText w:val=""/>
      <w:lvlJc w:val="left"/>
    </w:lvl>
    <w:lvl w:ilvl="6" w:tplc="EA7C5F16">
      <w:numFmt w:val="decimal"/>
      <w:lvlText w:val=""/>
      <w:lvlJc w:val="left"/>
    </w:lvl>
    <w:lvl w:ilvl="7" w:tplc="346802DC">
      <w:numFmt w:val="decimal"/>
      <w:lvlText w:val=""/>
      <w:lvlJc w:val="left"/>
    </w:lvl>
    <w:lvl w:ilvl="8" w:tplc="F11EA0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73D0"/>
    <w:rsid w:val="001639CA"/>
    <w:rsid w:val="005473D0"/>
    <w:rsid w:val="00FD5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473D0"/>
    <w:pPr>
      <w:spacing w:before="400" w:after="14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qFormat/>
    <w:rsid w:val="005473D0"/>
    <w:pPr>
      <w:spacing w:before="280" w:after="10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qFormat/>
    <w:rsid w:val="005473D0"/>
    <w:pPr>
      <w:spacing w:before="200" w:after="80"/>
      <w:outlineLvl w:val="2"/>
    </w:pPr>
    <w:rPr>
      <w:b/>
      <w:bCs/>
      <w:color w:val="00838F"/>
      <w:sz w:val="24"/>
      <w:szCs w:val="24"/>
    </w:rPr>
  </w:style>
  <w:style w:type="paragraph" w:styleId="Heading4">
    <w:name w:val="heading 4"/>
    <w:qFormat/>
    <w:rsid w:val="005473D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473D0"/>
    <w:pPr>
      <w:outlineLvl w:val="4"/>
    </w:pPr>
    <w:rPr>
      <w:color w:val="2E74B5"/>
    </w:rPr>
  </w:style>
  <w:style w:type="paragraph" w:styleId="Heading6">
    <w:name w:val="heading 6"/>
    <w:qFormat/>
    <w:rsid w:val="005473D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473D0"/>
    <w:rPr>
      <w:sz w:val="56"/>
      <w:szCs w:val="56"/>
    </w:rPr>
  </w:style>
  <w:style w:type="paragraph" w:customStyle="1" w:styleId="Strong1">
    <w:name w:val="Strong1"/>
    <w:qFormat/>
    <w:rsid w:val="005473D0"/>
    <w:rPr>
      <w:b/>
      <w:bCs/>
    </w:rPr>
  </w:style>
  <w:style w:type="paragraph" w:styleId="ListParagraph">
    <w:name w:val="List Paragraph"/>
    <w:qFormat/>
    <w:rsid w:val="005473D0"/>
  </w:style>
  <w:style w:type="character" w:styleId="Hyperlink">
    <w:name w:val="Hyperlink"/>
    <w:uiPriority w:val="99"/>
    <w:unhideWhenUsed/>
    <w:rsid w:val="005473D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473D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473D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473D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1762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ks</cp:lastModifiedBy>
  <cp:revision>2</cp:revision>
  <dcterms:created xsi:type="dcterms:W3CDTF">2026-02-26T02:14:00Z</dcterms:created>
  <dcterms:modified xsi:type="dcterms:W3CDTF">2026-02-26T02:14:00Z</dcterms:modified>
</cp:coreProperties>
</file>