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48"/>
        </w:rPr>
        <w:t>AI readiness report</w:t>
      </w:r>
    </w:p>
    <w:p>
      <w:pPr>
        <w:spacing w:after="40"/>
      </w:pPr>
      <w:r>
        <w:rPr>
          <w:b w:val="0"/>
          <w:i w:val="0"/>
          <w:color w:val="52606D"/>
          <w:sz w:val="26"/>
        </w:rPr>
        <w:t>Bank-ready AI evidence pack</w:t>
      </w:r>
    </w:p>
    <w:p>
      <w:pPr>
        <w:spacing w:after="0"/>
      </w:pPr>
      <w:r>
        <w:rPr>
          <w:b w:val="0"/>
          <w:i w:val="0"/>
          <w:sz w:val="21"/>
        </w:rPr>
        <w:t>Hemavati Finance Ltd (Demo)  |  NBFC (retail and MSME lending)  |  About 1,400 staff, 190 branches</w:t>
      </w:r>
    </w:p>
    <w:p>
      <w:pPr>
        <w:spacing w:after="120"/>
      </w:pPr>
      <w:r>
        <w:rPr>
          <w:b w:val="0"/>
          <w:i w:val="0"/>
          <w:color w:val="52606D"/>
          <w:sz w:val="19"/>
        </w:rPr>
        <w:t>Assessment date: 29 October 2026  |  Prepared by: Independent AI governance reviewer (demo)</w:t>
      </w:r>
    </w:p>
    <w:p>
      <w:pPr>
        <w:pStyle w:val="Heading1"/>
      </w:pPr>
      <w:r>
        <w:t>1. Executive summary</w:t>
      </w:r>
    </w:p>
    <w:p>
      <w:pPr>
        <w:pStyle w:val="ListBullet"/>
        <w:spacing w:after="40"/>
      </w:pPr>
      <w:r>
        <w:t>We reviewed 12 AI use cases at Hemavati Finance Ltd (Demo) (About 1,400 staff, 190 branches). Under the agreed tiering rules 6 are High risk, 4 Medium and 2 Low.</w:t>
      </w:r>
    </w:p>
    <w:p>
      <w:pPr>
        <w:pStyle w:val="ListBullet"/>
        <w:spacing w:after="40"/>
      </w:pPr>
      <w:r>
        <w:t>Overall AI readiness is 3.0 out of 4 (defined). The strongest area is accountability (4.0); the weakest is vendor AI risk (2.4).</w:t>
      </w:r>
    </w:p>
    <w:p>
      <w:pPr>
        <w:pStyle w:val="ListBullet"/>
        <w:spacing w:after="40"/>
      </w:pPr>
      <w:r>
        <w:t>We found 117 gaps across 23 themes; 15 are rated High. The three themes with the largest combined weight are: no exit plan or fallback for the AI vendor (9 use cases); no regular adversarial or prompt-injection testing (10 use cases); no evaluation set used as a release gate (9 use cases).</w:t>
      </w:r>
    </w:p>
    <w:p>
      <w:pPr>
        <w:pStyle w:val="ListBullet"/>
        <w:spacing w:after="40"/>
      </w:pPr>
      <w:r>
        <w:t>High-risk use cases with the lowest average scores, to look at first: AI-05 Customer WhatsApp assistant (1.9); AI-04 EMI reminder voice bot (2.1); AI-02 Income estimation from bank statements (2.8).</w:t>
      </w:r>
    </w:p>
    <w:p>
      <w:pPr>
        <w:pStyle w:val="ListBullet"/>
        <w:spacing w:after="40"/>
      </w:pPr>
      <w:r>
        <w:t>The 90-day plan has 23 actions; 8 are in the first 30 days (High-severity gaps).</w:t>
      </w:r>
    </w:p>
    <w:p>
      <w:pPr>
        <w:spacing w:after="40"/>
      </w:pPr>
      <w:r>
        <w:rPr>
          <w:b w:val="0"/>
          <w:i w:val="0"/>
        </w:rPr>
      </w:r>
    </w:p>
    <w:tbl>
      <w:tblPr>
        <w:tblStyle w:val="TableGrid"/>
        <w:tblW w:type="auto" w:w="0"/>
        <w:jc w:val="center"/>
        <w:tblLayout w:type="fixed"/>
        <w:tblLook w:firstColumn="1" w:firstRow="1" w:lastColumn="0" w:lastRow="0" w:noHBand="0" w:noVBand="1" w:val="04A0"/>
      </w:tblPr>
      <w:tblGrid>
        <w:gridCol w:w="1814"/>
        <w:gridCol w:w="1474"/>
        <w:gridCol w:w="2494"/>
        <w:gridCol w:w="1928"/>
        <w:gridCol w:w="1928"/>
      </w:tblGrid>
      <w:tr>
        <w:trPr>
          <w:tblHeader w:val="true"/>
        </w:trPr>
        <w:tc>
          <w:tcPr>
            <w:tcW w:type="dxa" w:w="1814"/>
            <w:shd w:val="clear" w:color="auto" w:fill="1F2933"/>
          </w:tcPr>
          <w:p>
            <w:pPr>
              <w:spacing w:after="20" w:before="20"/>
              <w:jc w:val="left"/>
            </w:pPr>
            <w:r/>
            <w:r>
              <w:rPr>
                <w:b/>
                <w:color w:val="FFFFFF"/>
                <w:sz w:val="20"/>
              </w:rPr>
              <w:t>Overall score</w:t>
            </w:r>
          </w:p>
        </w:tc>
        <w:tc>
          <w:tcPr>
            <w:tcW w:type="dxa" w:w="1474"/>
            <w:shd w:val="clear" w:color="auto" w:fill="1F2933"/>
          </w:tcPr>
          <w:p>
            <w:pPr>
              <w:spacing w:after="20" w:before="20"/>
              <w:jc w:val="left"/>
            </w:pPr>
            <w:r/>
            <w:r>
              <w:rPr>
                <w:b/>
                <w:color w:val="FFFFFF"/>
                <w:sz w:val="20"/>
              </w:rPr>
              <w:t>Use cases</w:t>
            </w:r>
          </w:p>
        </w:tc>
        <w:tc>
          <w:tcPr>
            <w:tcW w:type="dxa" w:w="2494"/>
            <w:shd w:val="clear" w:color="auto" w:fill="1F2933"/>
          </w:tcPr>
          <w:p>
            <w:pPr>
              <w:spacing w:after="20" w:before="20"/>
              <w:jc w:val="left"/>
            </w:pPr>
            <w:r/>
            <w:r>
              <w:rPr>
                <w:b/>
                <w:color w:val="FFFFFF"/>
                <w:sz w:val="20"/>
              </w:rPr>
              <w:t>High / Medium / Low risk</w:t>
            </w:r>
          </w:p>
        </w:tc>
        <w:tc>
          <w:tcPr>
            <w:tcW w:type="dxa" w:w="1928"/>
            <w:shd w:val="clear" w:color="auto" w:fill="1F2933"/>
          </w:tcPr>
          <w:p>
            <w:pPr>
              <w:spacing w:after="20" w:before="20"/>
              <w:jc w:val="left"/>
            </w:pPr>
            <w:r/>
            <w:r>
              <w:rPr>
                <w:b/>
                <w:color w:val="FFFFFF"/>
                <w:sz w:val="20"/>
              </w:rPr>
              <w:t>Gaps (High)</w:t>
            </w:r>
          </w:p>
        </w:tc>
        <w:tc>
          <w:tcPr>
            <w:tcW w:type="dxa" w:w="1928"/>
            <w:shd w:val="clear" w:color="auto" w:fill="1F2933"/>
          </w:tcPr>
          <w:p>
            <w:pPr>
              <w:spacing w:after="20" w:before="20"/>
              <w:jc w:val="left"/>
            </w:pPr>
            <w:r/>
            <w:r>
              <w:rPr>
                <w:b/>
                <w:color w:val="FFFFFF"/>
                <w:sz w:val="20"/>
              </w:rPr>
              <w:t>Plan actions</w:t>
            </w:r>
          </w:p>
        </w:tc>
      </w:tr>
      <w:tr>
        <w:trPr>
          <w:cantSplit w:val="true"/>
        </w:trPr>
        <w:tc>
          <w:tcPr>
            <w:tcW w:type="dxa" w:w="1814"/>
          </w:tcPr>
          <w:p>
            <w:pPr>
              <w:spacing w:after="20" w:before="20"/>
              <w:jc w:val="center"/>
            </w:pPr>
            <w:r/>
            <w:r>
              <w:rPr>
                <w:b w:val="0"/>
                <w:sz w:val="20"/>
              </w:rPr>
              <w:t>3.0 / 4</w:t>
            </w:r>
          </w:p>
        </w:tc>
        <w:tc>
          <w:tcPr>
            <w:tcW w:type="dxa" w:w="1474"/>
          </w:tcPr>
          <w:p>
            <w:pPr>
              <w:spacing w:after="20" w:before="20"/>
              <w:jc w:val="center"/>
            </w:pPr>
            <w:r/>
            <w:r>
              <w:rPr>
                <w:b w:val="0"/>
                <w:sz w:val="20"/>
              </w:rPr>
              <w:t>12</w:t>
            </w:r>
          </w:p>
        </w:tc>
        <w:tc>
          <w:tcPr>
            <w:tcW w:type="dxa" w:w="2494"/>
          </w:tcPr>
          <w:p>
            <w:pPr>
              <w:spacing w:after="20" w:before="20"/>
              <w:jc w:val="center"/>
            </w:pPr>
            <w:r/>
            <w:r>
              <w:rPr>
                <w:b w:val="0"/>
                <w:sz w:val="20"/>
              </w:rPr>
              <w:t>6 / 4 / 2</w:t>
            </w:r>
          </w:p>
        </w:tc>
        <w:tc>
          <w:tcPr>
            <w:tcW w:type="dxa" w:w="1928"/>
          </w:tcPr>
          <w:p>
            <w:pPr>
              <w:spacing w:after="20" w:before="20"/>
              <w:jc w:val="center"/>
            </w:pPr>
            <w:r/>
            <w:r>
              <w:rPr>
                <w:b w:val="0"/>
                <w:sz w:val="20"/>
              </w:rPr>
              <w:t>117 (15)</w:t>
            </w:r>
          </w:p>
        </w:tc>
        <w:tc>
          <w:tcPr>
            <w:tcW w:type="dxa" w:w="1928"/>
          </w:tcPr>
          <w:p>
            <w:pPr>
              <w:spacing w:after="20" w:before="20"/>
              <w:jc w:val="center"/>
            </w:pPr>
            <w:r/>
            <w:r>
              <w:rPr>
                <w:b w:val="0"/>
                <w:sz w:val="20"/>
              </w:rPr>
              <w:t>23</w:t>
            </w:r>
          </w:p>
        </w:tc>
      </w:tr>
    </w:tbl>
    <w:p>
      <w:pPr>
        <w:spacing w:after="40"/>
      </w:pPr>
      <w:r>
        <w:rPr>
          <w:b w:val="0"/>
          <w:i w:val="0"/>
        </w:rPr>
      </w:r>
    </w:p>
    <w:tbl>
      <w:tblPr>
        <w:tblStyle w:val="TableGrid"/>
        <w:tblW w:type="auto" w:w="0"/>
        <w:jc w:val="center"/>
        <w:tblLayout w:type="fixed"/>
        <w:tblLook w:firstColumn="1" w:firstRow="1" w:lastColumn="0" w:lastRow="0" w:noHBand="0" w:noVBand="1" w:val="04A0"/>
      </w:tblPr>
      <w:tblGrid>
        <w:gridCol w:w="2608"/>
        <w:gridCol w:w="907"/>
        <w:gridCol w:w="2041"/>
        <w:gridCol w:w="4082"/>
      </w:tblGrid>
      <w:tr>
        <w:trPr>
          <w:tblHeader w:val="true"/>
        </w:trPr>
        <w:tc>
          <w:tcPr>
            <w:tcW w:type="dxa" w:w="2608"/>
            <w:shd w:val="clear" w:color="auto" w:fill="1F2933"/>
          </w:tcPr>
          <w:p>
            <w:pPr>
              <w:spacing w:after="20" w:before="20"/>
              <w:jc w:val="left"/>
            </w:pPr>
            <w:r/>
            <w:r>
              <w:rPr>
                <w:b/>
                <w:color w:val="FFFFFF"/>
                <w:sz w:val="18"/>
              </w:rPr>
              <w:t>Area</w:t>
            </w:r>
          </w:p>
        </w:tc>
        <w:tc>
          <w:tcPr>
            <w:tcW w:type="dxa" w:w="907"/>
            <w:shd w:val="clear" w:color="auto" w:fill="1F2933"/>
          </w:tcPr>
          <w:p>
            <w:pPr>
              <w:spacing w:after="20" w:before="20"/>
              <w:jc w:val="left"/>
            </w:pPr>
            <w:r/>
            <w:r>
              <w:rPr>
                <w:b/>
                <w:color w:val="FFFFFF"/>
                <w:sz w:val="18"/>
              </w:rPr>
              <w:t>Score</w:t>
            </w:r>
          </w:p>
        </w:tc>
        <w:tc>
          <w:tcPr>
            <w:tcW w:type="dxa" w:w="2041"/>
            <w:shd w:val="clear" w:color="auto" w:fill="1F2933"/>
          </w:tcPr>
          <w:p>
            <w:pPr>
              <w:spacing w:after="20" w:before="20"/>
              <w:jc w:val="left"/>
            </w:pPr>
            <w:r/>
            <w:r>
              <w:rPr>
                <w:b/>
                <w:color w:val="FFFFFF"/>
                <w:sz w:val="18"/>
              </w:rPr>
              <w:t>Level</w:t>
            </w:r>
          </w:p>
        </w:tc>
        <w:tc>
          <w:tcPr>
            <w:tcW w:type="dxa" w:w="4082"/>
            <w:shd w:val="clear" w:color="auto" w:fill="1F2933"/>
          </w:tcPr>
          <w:p>
            <w:pPr>
              <w:spacing w:after="20" w:before="20"/>
              <w:jc w:val="left"/>
            </w:pPr>
            <w:r/>
            <w:r>
              <w:rPr>
                <w:b/>
                <w:color w:val="FFFFFF"/>
                <w:sz w:val="18"/>
              </w:rPr>
              <w:t>Use cases scoring 1 or 2</w:t>
            </w:r>
          </w:p>
        </w:tc>
      </w:tr>
      <w:tr>
        <w:trPr>
          <w:cantSplit w:val="true"/>
        </w:trPr>
        <w:tc>
          <w:tcPr>
            <w:tcW w:type="dxa" w:w="2608"/>
          </w:tcPr>
          <w:p>
            <w:pPr>
              <w:spacing w:after="20" w:before="20"/>
              <w:jc w:val="left"/>
            </w:pPr>
            <w:r/>
            <w:r>
              <w:rPr>
                <w:b w:val="0"/>
                <w:sz w:val="18"/>
              </w:rPr>
              <w:t>Accountability</w:t>
            </w:r>
          </w:p>
        </w:tc>
        <w:tc>
          <w:tcPr>
            <w:tcW w:type="dxa" w:w="907"/>
            <w:shd w:val="clear" w:color="auto" w:fill="174A80"/>
          </w:tcPr>
          <w:p>
            <w:pPr>
              <w:spacing w:after="20" w:before="20"/>
              <w:jc w:val="center"/>
            </w:pPr>
            <w:r/>
            <w:r>
              <w:rPr>
                <w:b/>
                <w:color w:val="FFFFFF"/>
                <w:sz w:val="18"/>
              </w:rPr>
              <w:t>4.0</w:t>
            </w:r>
          </w:p>
        </w:tc>
        <w:tc>
          <w:tcPr>
            <w:tcW w:type="dxa" w:w="2041"/>
          </w:tcPr>
          <w:p>
            <w:pPr>
              <w:spacing w:after="20" w:before="20"/>
              <w:jc w:val="left"/>
            </w:pPr>
            <w:r/>
            <w:r>
              <w:rPr>
                <w:b w:val="0"/>
                <w:sz w:val="18"/>
              </w:rPr>
              <w:t>Managed and tested</w:t>
            </w:r>
          </w:p>
        </w:tc>
        <w:tc>
          <w:tcPr>
            <w:tcW w:type="dxa" w:w="4082"/>
          </w:tcPr>
          <w:p>
            <w:pPr>
              <w:spacing w:after="20" w:before="20"/>
              <w:jc w:val="left"/>
            </w:pPr>
            <w:r/>
            <w:r>
              <w:rPr>
                <w:b w:val="0"/>
                <w:sz w:val="18"/>
              </w:rPr>
              <w:t>none</w:t>
            </w:r>
          </w:p>
        </w:tc>
      </w:tr>
      <w:tr>
        <w:trPr>
          <w:cantSplit w:val="true"/>
        </w:trPr>
        <w:tc>
          <w:tcPr>
            <w:tcW w:type="dxa" w:w="2608"/>
          </w:tcPr>
          <w:p>
            <w:pPr>
              <w:spacing w:after="20" w:before="20"/>
              <w:jc w:val="left"/>
            </w:pPr>
            <w:r/>
            <w:r>
              <w:rPr>
                <w:b w:val="0"/>
                <w:sz w:val="18"/>
              </w:rPr>
              <w:t>AI inventory</w:t>
            </w:r>
          </w:p>
        </w:tc>
        <w:tc>
          <w:tcPr>
            <w:tcW w:type="dxa" w:w="907"/>
            <w:shd w:val="clear" w:color="auto" w:fill="2E75B6"/>
          </w:tcPr>
          <w:p>
            <w:pPr>
              <w:spacing w:after="20" w:before="20"/>
              <w:jc w:val="center"/>
            </w:pPr>
            <w:r/>
            <w:r>
              <w:rPr>
                <w:b/>
                <w:color w:val="FFFFFF"/>
                <w:sz w:val="18"/>
              </w:rPr>
              <w:t>2.9</w:t>
            </w:r>
          </w:p>
        </w:tc>
        <w:tc>
          <w:tcPr>
            <w:tcW w:type="dxa" w:w="2041"/>
          </w:tcPr>
          <w:p>
            <w:pPr>
              <w:spacing w:after="20" w:before="20"/>
              <w:jc w:val="left"/>
            </w:pPr>
            <w:r/>
            <w:r>
              <w:rPr>
                <w:b w:val="0"/>
                <w:sz w:val="18"/>
              </w:rPr>
              <w:t>Defined</w:t>
            </w:r>
          </w:p>
        </w:tc>
        <w:tc>
          <w:tcPr>
            <w:tcW w:type="dxa" w:w="4082"/>
          </w:tcPr>
          <w:p>
            <w:pPr>
              <w:spacing w:after="20" w:before="20"/>
              <w:jc w:val="left"/>
            </w:pPr>
            <w:r/>
            <w:r>
              <w:rPr>
                <w:b w:val="0"/>
                <w:sz w:val="18"/>
              </w:rPr>
              <w:t>AI-05</w:t>
            </w:r>
          </w:p>
        </w:tc>
      </w:tr>
      <w:tr>
        <w:trPr>
          <w:cantSplit w:val="true"/>
        </w:trPr>
        <w:tc>
          <w:tcPr>
            <w:tcW w:type="dxa" w:w="2608"/>
          </w:tcPr>
          <w:p>
            <w:pPr>
              <w:spacing w:after="20" w:before="20"/>
              <w:jc w:val="left"/>
            </w:pPr>
            <w:r/>
            <w:r>
              <w:rPr>
                <w:b w:val="0"/>
                <w:sz w:val="18"/>
              </w:rPr>
              <w:t>Data governance</w:t>
            </w:r>
          </w:p>
        </w:tc>
        <w:tc>
          <w:tcPr>
            <w:tcW w:type="dxa" w:w="907"/>
            <w:shd w:val="clear" w:color="auto" w:fill="174A80"/>
          </w:tcPr>
          <w:p>
            <w:pPr>
              <w:spacing w:after="20" w:before="20"/>
              <w:jc w:val="center"/>
            </w:pPr>
            <w:r/>
            <w:r>
              <w:rPr>
                <w:b/>
                <w:color w:val="FFFFFF"/>
                <w:sz w:val="18"/>
              </w:rPr>
              <w:t>3.5</w:t>
            </w:r>
          </w:p>
        </w:tc>
        <w:tc>
          <w:tcPr>
            <w:tcW w:type="dxa" w:w="2041"/>
          </w:tcPr>
          <w:p>
            <w:pPr>
              <w:spacing w:after="20" w:before="20"/>
              <w:jc w:val="left"/>
            </w:pPr>
            <w:r/>
            <w:r>
              <w:rPr>
                <w:b w:val="0"/>
                <w:sz w:val="18"/>
              </w:rPr>
              <w:t>Managed and tested</w:t>
            </w:r>
          </w:p>
        </w:tc>
        <w:tc>
          <w:tcPr>
            <w:tcW w:type="dxa" w:w="4082"/>
          </w:tcPr>
          <w:p>
            <w:pPr>
              <w:spacing w:after="20" w:before="20"/>
              <w:jc w:val="left"/>
            </w:pPr>
            <w:r/>
            <w:r>
              <w:rPr>
                <w:b w:val="0"/>
                <w:sz w:val="18"/>
              </w:rPr>
              <w:t>AI-05, AI-10</w:t>
            </w:r>
          </w:p>
        </w:tc>
      </w:tr>
      <w:tr>
        <w:trPr>
          <w:cantSplit w:val="true"/>
        </w:trPr>
        <w:tc>
          <w:tcPr>
            <w:tcW w:type="dxa" w:w="2608"/>
          </w:tcPr>
          <w:p>
            <w:pPr>
              <w:spacing w:after="20" w:before="20"/>
              <w:jc w:val="left"/>
            </w:pPr>
            <w:r/>
            <w:r>
              <w:rPr>
                <w:b w:val="0"/>
                <w:sz w:val="18"/>
              </w:rPr>
              <w:t>Lifecycle and evals</w:t>
            </w:r>
          </w:p>
        </w:tc>
        <w:tc>
          <w:tcPr>
            <w:tcW w:type="dxa" w:w="907"/>
            <w:shd w:val="clear" w:color="auto" w:fill="2E75B6"/>
          </w:tcPr>
          <w:p>
            <w:pPr>
              <w:spacing w:after="20" w:before="20"/>
              <w:jc w:val="center"/>
            </w:pPr>
            <w:r/>
            <w:r>
              <w:rPr>
                <w:b/>
                <w:color w:val="FFFFFF"/>
                <w:sz w:val="18"/>
              </w:rPr>
              <w:t>2.7</w:t>
            </w:r>
          </w:p>
        </w:tc>
        <w:tc>
          <w:tcPr>
            <w:tcW w:type="dxa" w:w="2041"/>
          </w:tcPr>
          <w:p>
            <w:pPr>
              <w:spacing w:after="20" w:before="20"/>
              <w:jc w:val="left"/>
            </w:pPr>
            <w:r/>
            <w:r>
              <w:rPr>
                <w:b w:val="0"/>
                <w:sz w:val="18"/>
              </w:rPr>
              <w:t>Defined</w:t>
            </w:r>
          </w:p>
        </w:tc>
        <w:tc>
          <w:tcPr>
            <w:tcW w:type="dxa" w:w="4082"/>
          </w:tcPr>
          <w:p>
            <w:pPr>
              <w:spacing w:after="20" w:before="20"/>
              <w:jc w:val="left"/>
            </w:pPr>
            <w:r/>
            <w:r>
              <w:rPr>
                <w:b w:val="0"/>
                <w:sz w:val="18"/>
              </w:rPr>
              <w:t>AI-02, AI-04, AI-05, AI-10</w:t>
            </w:r>
          </w:p>
        </w:tc>
      </w:tr>
      <w:tr>
        <w:trPr>
          <w:cantSplit w:val="true"/>
        </w:trPr>
        <w:tc>
          <w:tcPr>
            <w:tcW w:type="dxa" w:w="2608"/>
          </w:tcPr>
          <w:p>
            <w:pPr>
              <w:spacing w:after="20" w:before="20"/>
              <w:jc w:val="left"/>
            </w:pPr>
            <w:r/>
            <w:r>
              <w:rPr>
                <w:b w:val="0"/>
                <w:sz w:val="18"/>
              </w:rPr>
              <w:t>AI security</w:t>
            </w:r>
          </w:p>
        </w:tc>
        <w:tc>
          <w:tcPr>
            <w:tcW w:type="dxa" w:w="907"/>
            <w:shd w:val="clear" w:color="auto" w:fill="2E75B6"/>
          </w:tcPr>
          <w:p>
            <w:pPr>
              <w:spacing w:after="20" w:before="20"/>
              <w:jc w:val="center"/>
            </w:pPr>
            <w:r/>
            <w:r>
              <w:rPr>
                <w:b/>
                <w:color w:val="FFFFFF"/>
                <w:sz w:val="18"/>
              </w:rPr>
              <w:t>2.5</w:t>
            </w:r>
          </w:p>
        </w:tc>
        <w:tc>
          <w:tcPr>
            <w:tcW w:type="dxa" w:w="2041"/>
          </w:tcPr>
          <w:p>
            <w:pPr>
              <w:spacing w:after="20" w:before="20"/>
              <w:jc w:val="left"/>
            </w:pPr>
            <w:r/>
            <w:r>
              <w:rPr>
                <w:b w:val="0"/>
                <w:sz w:val="18"/>
              </w:rPr>
              <w:t>Defined</w:t>
            </w:r>
          </w:p>
        </w:tc>
        <w:tc>
          <w:tcPr>
            <w:tcW w:type="dxa" w:w="4082"/>
          </w:tcPr>
          <w:p>
            <w:pPr>
              <w:spacing w:after="20" w:before="20"/>
              <w:jc w:val="left"/>
            </w:pPr>
            <w:r/>
            <w:r>
              <w:rPr>
                <w:b w:val="0"/>
                <w:sz w:val="18"/>
              </w:rPr>
              <w:t>AI-02, AI-04, AI-05, AI-08, AI-09, AI-10, AI-12</w:t>
            </w:r>
          </w:p>
        </w:tc>
      </w:tr>
      <w:tr>
        <w:trPr>
          <w:cantSplit w:val="true"/>
        </w:trPr>
        <w:tc>
          <w:tcPr>
            <w:tcW w:type="dxa" w:w="2608"/>
          </w:tcPr>
          <w:p>
            <w:pPr>
              <w:spacing w:after="20" w:before="20"/>
              <w:jc w:val="left"/>
            </w:pPr>
            <w:r/>
            <w:r>
              <w:rPr>
                <w:b w:val="0"/>
                <w:sz w:val="18"/>
              </w:rPr>
              <w:t>Human oversight</w:t>
            </w:r>
          </w:p>
        </w:tc>
        <w:tc>
          <w:tcPr>
            <w:tcW w:type="dxa" w:w="907"/>
            <w:shd w:val="clear" w:color="auto" w:fill="2E75B6"/>
          </w:tcPr>
          <w:p>
            <w:pPr>
              <w:spacing w:after="20" w:before="20"/>
              <w:jc w:val="center"/>
            </w:pPr>
            <w:r/>
            <w:r>
              <w:rPr>
                <w:b/>
                <w:color w:val="FFFFFF"/>
                <w:sz w:val="18"/>
              </w:rPr>
              <w:t>3.2</w:t>
            </w:r>
          </w:p>
        </w:tc>
        <w:tc>
          <w:tcPr>
            <w:tcW w:type="dxa" w:w="2041"/>
          </w:tcPr>
          <w:p>
            <w:pPr>
              <w:spacing w:after="20" w:before="20"/>
              <w:jc w:val="left"/>
            </w:pPr>
            <w:r/>
            <w:r>
              <w:rPr>
                <w:b w:val="0"/>
                <w:sz w:val="18"/>
              </w:rPr>
              <w:t>Defined</w:t>
            </w:r>
          </w:p>
        </w:tc>
        <w:tc>
          <w:tcPr>
            <w:tcW w:type="dxa" w:w="4082"/>
          </w:tcPr>
          <w:p>
            <w:pPr>
              <w:spacing w:after="20" w:before="20"/>
              <w:jc w:val="left"/>
            </w:pPr>
            <w:r/>
            <w:r>
              <w:rPr>
                <w:b w:val="0"/>
                <w:sz w:val="18"/>
              </w:rPr>
              <w:t>AI-04, AI-10</w:t>
            </w:r>
          </w:p>
        </w:tc>
      </w:tr>
      <w:tr>
        <w:trPr>
          <w:cantSplit w:val="true"/>
        </w:trPr>
        <w:tc>
          <w:tcPr>
            <w:tcW w:type="dxa" w:w="2608"/>
          </w:tcPr>
          <w:p>
            <w:pPr>
              <w:spacing w:after="20" w:before="20"/>
              <w:jc w:val="left"/>
            </w:pPr>
            <w:r/>
            <w:r>
              <w:rPr>
                <w:b w:val="0"/>
                <w:sz w:val="18"/>
              </w:rPr>
              <w:t>Vendor AI risk</w:t>
            </w:r>
          </w:p>
        </w:tc>
        <w:tc>
          <w:tcPr>
            <w:tcW w:type="dxa" w:w="907"/>
            <w:shd w:val="clear" w:color="auto" w:fill="9FC3E6"/>
          </w:tcPr>
          <w:p>
            <w:pPr>
              <w:spacing w:after="20" w:before="20"/>
              <w:jc w:val="center"/>
            </w:pPr>
            <w:r/>
            <w:r>
              <w:rPr>
                <w:b/>
                <w:color w:val="1A1A1A"/>
                <w:sz w:val="18"/>
              </w:rPr>
              <w:t>2.4</w:t>
            </w:r>
          </w:p>
        </w:tc>
        <w:tc>
          <w:tcPr>
            <w:tcW w:type="dxa" w:w="2041"/>
          </w:tcPr>
          <w:p>
            <w:pPr>
              <w:spacing w:after="20" w:before="20"/>
              <w:jc w:val="left"/>
            </w:pPr>
            <w:r/>
            <w:r>
              <w:rPr>
                <w:b w:val="0"/>
                <w:sz w:val="18"/>
              </w:rPr>
              <w:t>Basic / ad hoc</w:t>
            </w:r>
          </w:p>
        </w:tc>
        <w:tc>
          <w:tcPr>
            <w:tcW w:type="dxa" w:w="4082"/>
          </w:tcPr>
          <w:p>
            <w:pPr>
              <w:spacing w:after="20" w:before="20"/>
              <w:jc w:val="left"/>
            </w:pPr>
            <w:r/>
            <w:r>
              <w:rPr>
                <w:b w:val="0"/>
                <w:sz w:val="18"/>
              </w:rPr>
              <w:t>AI-02, AI-04, AI-05, AI-08, AI-10, AI-12</w:t>
            </w:r>
          </w:p>
        </w:tc>
      </w:tr>
      <w:tr>
        <w:trPr>
          <w:cantSplit w:val="true"/>
        </w:trPr>
        <w:tc>
          <w:tcPr>
            <w:tcW w:type="dxa" w:w="2608"/>
          </w:tcPr>
          <w:p>
            <w:pPr>
              <w:spacing w:after="20" w:before="20"/>
              <w:jc w:val="left"/>
            </w:pPr>
            <w:r/>
            <w:r>
              <w:rPr>
                <w:b w:val="0"/>
                <w:sz w:val="18"/>
              </w:rPr>
              <w:t>Monitoring and audit</w:t>
            </w:r>
          </w:p>
        </w:tc>
        <w:tc>
          <w:tcPr>
            <w:tcW w:type="dxa" w:w="907"/>
            <w:shd w:val="clear" w:color="auto" w:fill="2E75B6"/>
          </w:tcPr>
          <w:p>
            <w:pPr>
              <w:spacing w:after="20" w:before="20"/>
              <w:jc w:val="center"/>
            </w:pPr>
            <w:r/>
            <w:r>
              <w:rPr>
                <w:b/>
                <w:color w:val="FFFFFF"/>
                <w:sz w:val="18"/>
              </w:rPr>
              <w:t>2.9</w:t>
            </w:r>
          </w:p>
        </w:tc>
        <w:tc>
          <w:tcPr>
            <w:tcW w:type="dxa" w:w="2041"/>
          </w:tcPr>
          <w:p>
            <w:pPr>
              <w:spacing w:after="20" w:before="20"/>
              <w:jc w:val="left"/>
            </w:pPr>
            <w:r/>
            <w:r>
              <w:rPr>
                <w:b w:val="0"/>
                <w:sz w:val="18"/>
              </w:rPr>
              <w:t>Defined</w:t>
            </w:r>
          </w:p>
        </w:tc>
        <w:tc>
          <w:tcPr>
            <w:tcW w:type="dxa" w:w="4082"/>
          </w:tcPr>
          <w:p>
            <w:pPr>
              <w:spacing w:after="20" w:before="20"/>
              <w:jc w:val="left"/>
            </w:pPr>
            <w:r/>
            <w:r>
              <w:rPr>
                <w:b w:val="0"/>
                <w:sz w:val="18"/>
              </w:rPr>
              <w:t>AI-04, AI-05, AI-10</w:t>
            </w:r>
          </w:p>
        </w:tc>
      </w:tr>
    </w:tbl>
    <w:p>
      <w:r>
        <w:br w:type="page"/>
      </w:r>
    </w:p>
    <w:p>
      <w:pPr>
        <w:pStyle w:val="Heading1"/>
      </w:pPr>
      <w:r>
        <w:t>2. Scope</w:t>
      </w:r>
    </w:p>
    <w:p>
      <w:r>
        <w:rPr>
          <w:b w:val="0"/>
          <w:i w:val="0"/>
        </w:rPr>
        <w:t>In scope: the 12 AI use cases in the register supplied by Hemavati Finance Ltd (Demo) (AI-01, AI-02, AI-03, AI-04, AI-05, AI-06, AI-07, AI-08, AI-09, AI-10, AI-11, AI-12), and four organisation-level controls: board-approved AI policy, AI governance owner, inventory review cycle and risk-based audit coverage.</w:t>
      </w:r>
    </w:p>
    <w:p>
      <w:r>
        <w:rPr>
          <w:b w:val="0"/>
          <w:i w:val="0"/>
        </w:rPr>
        <w:t>Out of scope: testing of any model, system or vendor; review of source code, infrastructure or contracts; interviews; and any formal security audit. Every answer is taken as the organisation stated it.</w:t>
      </w:r>
    </w:p>
    <w:p>
      <w:pPr>
        <w:pStyle w:val="Heading1"/>
      </w:pPr>
      <w:r>
        <w:t>3. Method</w:t>
      </w:r>
    </w:p>
    <w:p>
      <w:r>
        <w:rPr>
          <w:b w:val="0"/>
          <w:i w:val="0"/>
        </w:rPr>
        <w:t>Each use case is scored 1 to 4 on eight areas. A score is the share of applicable, weighted checks the use case earns, banded as follows: 1 not evidenced (from 0%), 2 basic / ad hoc (from 25%), 3 defined (from 55%), 4 managed and tested (from 85%). A blank answer scores as not evidenced. Checks that do not apply to a use case are left out of its score.</w:t>
      </w:r>
    </w:p>
    <w:tbl>
      <w:tblPr>
        <w:tblStyle w:val="TableGrid"/>
        <w:tblW w:type="auto" w:w="0"/>
        <w:jc w:val="center"/>
        <w:tblLayout w:type="fixed"/>
        <w:tblLook w:firstColumn="1" w:firstRow="1" w:lastColumn="0" w:lastRow="0" w:noHBand="0" w:noVBand="1" w:val="04A0"/>
      </w:tblPr>
      <w:tblGrid>
        <w:gridCol w:w="454"/>
        <w:gridCol w:w="1814"/>
        <w:gridCol w:w="3969"/>
        <w:gridCol w:w="3402"/>
      </w:tblGrid>
      <w:tr>
        <w:trPr>
          <w:tblHeader w:val="true"/>
        </w:trPr>
        <w:tc>
          <w:tcPr>
            <w:tcW w:type="dxa" w:w="454"/>
            <w:shd w:val="clear" w:color="auto" w:fill="1F2933"/>
          </w:tcPr>
          <w:p>
            <w:pPr>
              <w:spacing w:after="20" w:before="20"/>
              <w:jc w:val="left"/>
            </w:pPr>
            <w:r/>
            <w:r>
              <w:rPr>
                <w:b/>
                <w:color w:val="FFFFFF"/>
                <w:sz w:val="17"/>
              </w:rPr>
              <w:t>#</w:t>
            </w:r>
          </w:p>
        </w:tc>
        <w:tc>
          <w:tcPr>
            <w:tcW w:type="dxa" w:w="1814"/>
            <w:shd w:val="clear" w:color="auto" w:fill="1F2933"/>
          </w:tcPr>
          <w:p>
            <w:pPr>
              <w:spacing w:after="20" w:before="20"/>
              <w:jc w:val="left"/>
            </w:pPr>
            <w:r/>
            <w:r>
              <w:rPr>
                <w:b/>
                <w:color w:val="FFFFFF"/>
                <w:sz w:val="17"/>
              </w:rPr>
              <w:t>Area</w:t>
            </w:r>
          </w:p>
        </w:tc>
        <w:tc>
          <w:tcPr>
            <w:tcW w:type="dxa" w:w="3969"/>
            <w:shd w:val="clear" w:color="auto" w:fill="1F2933"/>
          </w:tcPr>
          <w:p>
            <w:pPr>
              <w:spacing w:after="20" w:before="20"/>
              <w:jc w:val="left"/>
            </w:pPr>
            <w:r/>
            <w:r>
              <w:rPr>
                <w:b/>
                <w:color w:val="FFFFFF"/>
                <w:sz w:val="17"/>
              </w:rPr>
              <w:t>What it covers</w:t>
            </w:r>
          </w:p>
        </w:tc>
        <w:tc>
          <w:tcPr>
            <w:tcW w:type="dxa" w:w="3402"/>
            <w:shd w:val="clear" w:color="auto" w:fill="1F2933"/>
          </w:tcPr>
          <w:p>
            <w:pPr>
              <w:spacing w:after="20" w:before="20"/>
              <w:jc w:val="left"/>
            </w:pPr>
            <w:r/>
            <w:r>
              <w:rPr>
                <w:b/>
                <w:color w:val="FFFFFF"/>
                <w:sz w:val="17"/>
              </w:rPr>
              <w:t>Reference (to verify against the RBI FREE-AI report text before client use)</w:t>
            </w:r>
          </w:p>
        </w:tc>
      </w:tr>
      <w:tr>
        <w:trPr>
          <w:cantSplit w:val="true"/>
        </w:trPr>
        <w:tc>
          <w:tcPr>
            <w:tcW w:type="dxa" w:w="454"/>
          </w:tcPr>
          <w:p>
            <w:pPr>
              <w:spacing w:after="20" w:before="20"/>
              <w:jc w:val="left"/>
            </w:pPr>
            <w:r/>
            <w:r>
              <w:rPr>
                <w:b w:val="0"/>
                <w:sz w:val="17"/>
              </w:rPr>
              <w:t>1</w:t>
            </w:r>
          </w:p>
        </w:tc>
        <w:tc>
          <w:tcPr>
            <w:tcW w:type="dxa" w:w="1814"/>
          </w:tcPr>
          <w:p>
            <w:pPr>
              <w:spacing w:after="20" w:before="20"/>
              <w:jc w:val="left"/>
            </w:pPr>
            <w:r/>
            <w:r>
              <w:rPr>
                <w:b w:val="0"/>
                <w:sz w:val="17"/>
              </w:rPr>
              <w:t>Accountability</w:t>
            </w:r>
          </w:p>
        </w:tc>
        <w:tc>
          <w:tcPr>
            <w:tcW w:type="dxa" w:w="3969"/>
          </w:tcPr>
          <w:p>
            <w:pPr>
              <w:spacing w:after="20" w:before="20"/>
              <w:jc w:val="left"/>
            </w:pPr>
            <w:r/>
            <w:r>
              <w:rPr>
                <w:b w:val="0"/>
                <w:sz w:val="17"/>
              </w:rPr>
              <w:t>Board-approved AI policy; a named owner for every use case</w:t>
            </w:r>
          </w:p>
        </w:tc>
        <w:tc>
          <w:tcPr>
            <w:tcW w:type="dxa" w:w="3402"/>
          </w:tcPr>
          <w:p>
            <w:pPr>
              <w:spacing w:after="20" w:before="20"/>
              <w:jc w:val="left"/>
            </w:pPr>
            <w:r/>
            <w:r>
              <w:rPr>
                <w:b w:val="0"/>
                <w:sz w:val="17"/>
              </w:rPr>
              <w:t>RBI FREE-AI rec. 14</w:t>
            </w:r>
          </w:p>
        </w:tc>
      </w:tr>
      <w:tr>
        <w:trPr>
          <w:cantSplit w:val="true"/>
        </w:trPr>
        <w:tc>
          <w:tcPr>
            <w:tcW w:type="dxa" w:w="454"/>
          </w:tcPr>
          <w:p>
            <w:pPr>
              <w:spacing w:after="20" w:before="20"/>
              <w:jc w:val="left"/>
            </w:pPr>
            <w:r/>
            <w:r>
              <w:rPr>
                <w:b w:val="0"/>
                <w:sz w:val="17"/>
              </w:rPr>
              <w:t>2</w:t>
            </w:r>
          </w:p>
        </w:tc>
        <w:tc>
          <w:tcPr>
            <w:tcW w:type="dxa" w:w="1814"/>
          </w:tcPr>
          <w:p>
            <w:pPr>
              <w:spacing w:after="20" w:before="20"/>
              <w:jc w:val="left"/>
            </w:pPr>
            <w:r/>
            <w:r>
              <w:rPr>
                <w:b w:val="0"/>
                <w:sz w:val="17"/>
              </w:rPr>
              <w:t>AI inventory</w:t>
            </w:r>
          </w:p>
        </w:tc>
        <w:tc>
          <w:tcPr>
            <w:tcW w:type="dxa" w:w="3969"/>
          </w:tcPr>
          <w:p>
            <w:pPr>
              <w:spacing w:after="20" w:before="20"/>
              <w:jc w:val="left"/>
            </w:pPr>
            <w:r/>
            <w:r>
              <w:rPr>
                <w:b w:val="0"/>
                <w:sz w:val="17"/>
              </w:rPr>
              <w:t>All AI use cases listed and risk-tiered</w:t>
            </w:r>
          </w:p>
        </w:tc>
        <w:tc>
          <w:tcPr>
            <w:tcW w:type="dxa" w:w="3402"/>
          </w:tcPr>
          <w:p>
            <w:pPr>
              <w:spacing w:after="20" w:before="20"/>
              <w:jc w:val="left"/>
            </w:pPr>
            <w:r/>
            <w:r>
              <w:rPr>
                <w:b w:val="0"/>
                <w:sz w:val="17"/>
              </w:rPr>
              <w:t>RBI FREE-AI rec. 23</w:t>
            </w:r>
          </w:p>
        </w:tc>
      </w:tr>
      <w:tr>
        <w:trPr>
          <w:cantSplit w:val="true"/>
        </w:trPr>
        <w:tc>
          <w:tcPr>
            <w:tcW w:type="dxa" w:w="454"/>
          </w:tcPr>
          <w:p>
            <w:pPr>
              <w:spacing w:after="20" w:before="20"/>
              <w:jc w:val="left"/>
            </w:pPr>
            <w:r/>
            <w:r>
              <w:rPr>
                <w:b w:val="0"/>
                <w:sz w:val="17"/>
              </w:rPr>
              <w:t>3</w:t>
            </w:r>
          </w:p>
        </w:tc>
        <w:tc>
          <w:tcPr>
            <w:tcW w:type="dxa" w:w="1814"/>
          </w:tcPr>
          <w:p>
            <w:pPr>
              <w:spacing w:after="20" w:before="20"/>
              <w:jc w:val="left"/>
            </w:pPr>
            <w:r/>
            <w:r>
              <w:rPr>
                <w:b w:val="0"/>
                <w:sz w:val="17"/>
              </w:rPr>
              <w:t>Data governance</w:t>
            </w:r>
          </w:p>
        </w:tc>
        <w:tc>
          <w:tcPr>
            <w:tcW w:type="dxa" w:w="3969"/>
          </w:tcPr>
          <w:p>
            <w:pPr>
              <w:spacing w:after="20" w:before="20"/>
              <w:jc w:val="left"/>
            </w:pPr>
            <w:r/>
            <w:r>
              <w:rPr>
                <w:b w:val="0"/>
                <w:sz w:val="17"/>
              </w:rPr>
              <w:t>Data use, retention, DPDP Act 2023 alignment</w:t>
            </w:r>
          </w:p>
        </w:tc>
        <w:tc>
          <w:tcPr>
            <w:tcW w:type="dxa" w:w="3402"/>
          </w:tcPr>
          <w:p>
            <w:pPr>
              <w:spacing w:after="20" w:before="20"/>
              <w:jc w:val="left"/>
            </w:pPr>
            <w:r/>
            <w:r>
              <w:rPr>
                <w:b w:val="0"/>
                <w:sz w:val="17"/>
              </w:rPr>
              <w:t>RBI FREE-AI rec. 15; DPDP Act 2023</w:t>
            </w:r>
          </w:p>
        </w:tc>
      </w:tr>
      <w:tr>
        <w:trPr>
          <w:cantSplit w:val="true"/>
        </w:trPr>
        <w:tc>
          <w:tcPr>
            <w:tcW w:type="dxa" w:w="454"/>
          </w:tcPr>
          <w:p>
            <w:pPr>
              <w:spacing w:after="20" w:before="20"/>
              <w:jc w:val="left"/>
            </w:pPr>
            <w:r/>
            <w:r>
              <w:rPr>
                <w:b w:val="0"/>
                <w:sz w:val="17"/>
              </w:rPr>
              <w:t>4</w:t>
            </w:r>
          </w:p>
        </w:tc>
        <w:tc>
          <w:tcPr>
            <w:tcW w:type="dxa" w:w="1814"/>
          </w:tcPr>
          <w:p>
            <w:pPr>
              <w:spacing w:after="20" w:before="20"/>
              <w:jc w:val="left"/>
            </w:pPr>
            <w:r/>
            <w:r>
              <w:rPr>
                <w:b w:val="0"/>
                <w:sz w:val="17"/>
              </w:rPr>
              <w:t>Lifecycle and evals</w:t>
            </w:r>
          </w:p>
        </w:tc>
        <w:tc>
          <w:tcPr>
            <w:tcW w:type="dxa" w:w="3969"/>
          </w:tcPr>
          <w:p>
            <w:pPr>
              <w:spacing w:after="20" w:before="20"/>
              <w:jc w:val="left"/>
            </w:pPr>
            <w:r/>
            <w:r>
              <w:rPr>
                <w:b w:val="0"/>
                <w:sz w:val="17"/>
              </w:rPr>
              <w:t>Validation of models; evals used as a release gate</w:t>
            </w:r>
          </w:p>
        </w:tc>
        <w:tc>
          <w:tcPr>
            <w:tcW w:type="dxa" w:w="3402"/>
          </w:tcPr>
          <w:p>
            <w:pPr>
              <w:spacing w:after="20" w:before="20"/>
              <w:jc w:val="left"/>
            </w:pPr>
            <w:r/>
            <w:r>
              <w:rPr>
                <w:b w:val="0"/>
                <w:sz w:val="17"/>
              </w:rPr>
              <w:t>RBI FREE-AI rec. 16</w:t>
            </w:r>
          </w:p>
        </w:tc>
      </w:tr>
      <w:tr>
        <w:trPr>
          <w:cantSplit w:val="true"/>
        </w:trPr>
        <w:tc>
          <w:tcPr>
            <w:tcW w:type="dxa" w:w="454"/>
          </w:tcPr>
          <w:p>
            <w:pPr>
              <w:spacing w:after="20" w:before="20"/>
              <w:jc w:val="left"/>
            </w:pPr>
            <w:r/>
            <w:r>
              <w:rPr>
                <w:b w:val="0"/>
                <w:sz w:val="17"/>
              </w:rPr>
              <w:t>5</w:t>
            </w:r>
          </w:p>
        </w:tc>
        <w:tc>
          <w:tcPr>
            <w:tcW w:type="dxa" w:w="1814"/>
          </w:tcPr>
          <w:p>
            <w:pPr>
              <w:spacing w:after="20" w:before="20"/>
              <w:jc w:val="left"/>
            </w:pPr>
            <w:r/>
            <w:r>
              <w:rPr>
                <w:b w:val="0"/>
                <w:sz w:val="17"/>
              </w:rPr>
              <w:t>AI security</w:t>
            </w:r>
          </w:p>
        </w:tc>
        <w:tc>
          <w:tcPr>
            <w:tcW w:type="dxa" w:w="3969"/>
          </w:tcPr>
          <w:p>
            <w:pPr>
              <w:spacing w:after="20" w:before="20"/>
              <w:jc w:val="left"/>
            </w:pPr>
            <w:r/>
            <w:r>
              <w:rPr>
                <w:b w:val="0"/>
                <w:sz w:val="17"/>
              </w:rPr>
              <w:t>Prompt injection, least-privilege agents and tools, data-leak controls</w:t>
            </w:r>
          </w:p>
        </w:tc>
        <w:tc>
          <w:tcPr>
            <w:tcW w:type="dxa" w:w="3402"/>
          </w:tcPr>
          <w:p>
            <w:pPr>
              <w:spacing w:after="20" w:before="20"/>
              <w:jc w:val="left"/>
            </w:pPr>
            <w:r/>
            <w:r>
              <w:rPr>
                <w:b w:val="0"/>
                <w:sz w:val="17"/>
              </w:rPr>
              <w:t>OWASP GenAI Top 10; RBI FREE-AI recs. 19-20</w:t>
            </w:r>
          </w:p>
        </w:tc>
      </w:tr>
      <w:tr>
        <w:trPr>
          <w:cantSplit w:val="true"/>
        </w:trPr>
        <w:tc>
          <w:tcPr>
            <w:tcW w:type="dxa" w:w="454"/>
          </w:tcPr>
          <w:p>
            <w:pPr>
              <w:spacing w:after="20" w:before="20"/>
              <w:jc w:val="left"/>
            </w:pPr>
            <w:r/>
            <w:r>
              <w:rPr>
                <w:b w:val="0"/>
                <w:sz w:val="17"/>
              </w:rPr>
              <w:t>6</w:t>
            </w:r>
          </w:p>
        </w:tc>
        <w:tc>
          <w:tcPr>
            <w:tcW w:type="dxa" w:w="1814"/>
          </w:tcPr>
          <w:p>
            <w:pPr>
              <w:spacing w:after="20" w:before="20"/>
              <w:jc w:val="left"/>
            </w:pPr>
            <w:r/>
            <w:r>
              <w:rPr>
                <w:b w:val="0"/>
                <w:sz w:val="17"/>
              </w:rPr>
              <w:t>Human oversight</w:t>
            </w:r>
          </w:p>
        </w:tc>
        <w:tc>
          <w:tcPr>
            <w:tcW w:type="dxa" w:w="3969"/>
          </w:tcPr>
          <w:p>
            <w:pPr>
              <w:spacing w:after="20" w:before="20"/>
              <w:jc w:val="left"/>
            </w:pPr>
            <w:r/>
            <w:r>
              <w:rPr>
                <w:b w:val="0"/>
                <w:sz w:val="17"/>
              </w:rPr>
              <w:t>Checkpoints matched to risk; explainability; recourse</w:t>
            </w:r>
          </w:p>
        </w:tc>
        <w:tc>
          <w:tcPr>
            <w:tcW w:type="dxa" w:w="3402"/>
          </w:tcPr>
          <w:p>
            <w:pPr>
              <w:spacing w:after="20" w:before="20"/>
              <w:jc w:val="left"/>
            </w:pPr>
            <w:r/>
            <w:r>
              <w:rPr>
                <w:b w:val="0"/>
                <w:sz w:val="17"/>
              </w:rPr>
              <w:t>RBI FREE-AI principles (Sutras)</w:t>
            </w:r>
          </w:p>
        </w:tc>
      </w:tr>
      <w:tr>
        <w:trPr>
          <w:cantSplit w:val="true"/>
        </w:trPr>
        <w:tc>
          <w:tcPr>
            <w:tcW w:type="dxa" w:w="454"/>
          </w:tcPr>
          <w:p>
            <w:pPr>
              <w:spacing w:after="20" w:before="20"/>
              <w:jc w:val="left"/>
            </w:pPr>
            <w:r/>
            <w:r>
              <w:rPr>
                <w:b w:val="0"/>
                <w:sz w:val="17"/>
              </w:rPr>
              <w:t>7</w:t>
            </w:r>
          </w:p>
        </w:tc>
        <w:tc>
          <w:tcPr>
            <w:tcW w:type="dxa" w:w="1814"/>
          </w:tcPr>
          <w:p>
            <w:pPr>
              <w:spacing w:after="20" w:before="20"/>
              <w:jc w:val="left"/>
            </w:pPr>
            <w:r/>
            <w:r>
              <w:rPr>
                <w:b w:val="0"/>
                <w:sz w:val="17"/>
              </w:rPr>
              <w:t>Vendor AI risk</w:t>
            </w:r>
          </w:p>
        </w:tc>
        <w:tc>
          <w:tcPr>
            <w:tcW w:type="dxa" w:w="3969"/>
          </w:tcPr>
          <w:p>
            <w:pPr>
              <w:spacing w:after="20" w:before="20"/>
              <w:jc w:val="left"/>
            </w:pPr>
            <w:r/>
            <w:r>
              <w:rPr>
                <w:b w:val="0"/>
                <w:sz w:val="17"/>
              </w:rPr>
              <w:t>Model changes, data location, contractual limits, exit plan</w:t>
            </w:r>
          </w:p>
        </w:tc>
        <w:tc>
          <w:tcPr>
            <w:tcW w:type="dxa" w:w="3402"/>
          </w:tcPr>
          <w:p>
            <w:pPr>
              <w:spacing w:after="20" w:before="20"/>
              <w:jc w:val="left"/>
            </w:pPr>
            <w:r/>
            <w:r>
              <w:rPr>
                <w:b w:val="0"/>
                <w:sz w:val="17"/>
              </w:rPr>
              <w:t>OWASP GenAI supply chain risks</w:t>
            </w:r>
          </w:p>
        </w:tc>
      </w:tr>
      <w:tr>
        <w:trPr>
          <w:cantSplit w:val="true"/>
        </w:trPr>
        <w:tc>
          <w:tcPr>
            <w:tcW w:type="dxa" w:w="454"/>
          </w:tcPr>
          <w:p>
            <w:pPr>
              <w:spacing w:after="20" w:before="20"/>
              <w:jc w:val="left"/>
            </w:pPr>
            <w:r/>
            <w:r>
              <w:rPr>
                <w:b w:val="0"/>
                <w:sz w:val="17"/>
              </w:rPr>
              <w:t>8</w:t>
            </w:r>
          </w:p>
        </w:tc>
        <w:tc>
          <w:tcPr>
            <w:tcW w:type="dxa" w:w="1814"/>
          </w:tcPr>
          <w:p>
            <w:pPr>
              <w:spacing w:after="20" w:before="20"/>
              <w:jc w:val="left"/>
            </w:pPr>
            <w:r/>
            <w:r>
              <w:rPr>
                <w:b w:val="0"/>
                <w:sz w:val="17"/>
              </w:rPr>
              <w:t>Monitoring and audit</w:t>
            </w:r>
          </w:p>
        </w:tc>
        <w:tc>
          <w:tcPr>
            <w:tcW w:type="dxa" w:w="3969"/>
          </w:tcPr>
          <w:p>
            <w:pPr>
              <w:spacing w:after="20" w:before="20"/>
              <w:jc w:val="left"/>
            </w:pPr>
            <w:r/>
            <w:r>
              <w:rPr>
                <w:b w:val="0"/>
                <w:sz w:val="17"/>
              </w:rPr>
              <w:t>Drift and performance monitoring, incidents, business continuity, risk-based audit</w:t>
            </w:r>
          </w:p>
        </w:tc>
        <w:tc>
          <w:tcPr>
            <w:tcW w:type="dxa" w:w="3402"/>
          </w:tcPr>
          <w:p>
            <w:pPr>
              <w:spacing w:after="20" w:before="20"/>
              <w:jc w:val="left"/>
            </w:pPr>
            <w:r/>
            <w:r>
              <w:rPr>
                <w:b w:val="0"/>
                <w:sz w:val="17"/>
              </w:rPr>
              <w:t>RBI FREE-AI recs. 21-24</w:t>
            </w:r>
          </w:p>
        </w:tc>
      </w:tr>
    </w:tbl>
    <w:p>
      <w:pPr>
        <w:spacing w:after="40"/>
      </w:pPr>
      <w:r>
        <w:rPr>
          <w:b w:val="0"/>
          <w:i w:val="0"/>
        </w:rPr>
      </w:r>
    </w:p>
    <w:p>
      <w:pPr>
        <w:spacing w:after="60"/>
      </w:pPr>
      <w:r>
        <w:rPr>
          <w:b w:val="0"/>
          <w:i w:val="0"/>
        </w:rPr>
        <w:t>Risk tiers are assigned by the rules below (the highest matching tier wins). They set how strict the checks are (for example, how recent a validation must be) and how severe a gap is.</w:t>
      </w:r>
    </w:p>
    <w:tbl>
      <w:tblPr>
        <w:tblStyle w:val="TableGrid"/>
        <w:tblW w:type="auto" w:w="0"/>
        <w:jc w:val="center"/>
        <w:tblLayout w:type="fixed"/>
        <w:tblLook w:firstColumn="1" w:firstRow="1" w:lastColumn="0" w:lastRow="0" w:noHBand="0" w:noVBand="1" w:val="04A0"/>
      </w:tblPr>
      <w:tblGrid>
        <w:gridCol w:w="907"/>
        <w:gridCol w:w="1134"/>
        <w:gridCol w:w="7597"/>
      </w:tblGrid>
      <w:tr>
        <w:trPr>
          <w:tblHeader w:val="true"/>
        </w:trPr>
        <w:tc>
          <w:tcPr>
            <w:tcW w:type="dxa" w:w="907"/>
            <w:shd w:val="clear" w:color="auto" w:fill="1F2933"/>
          </w:tcPr>
          <w:p>
            <w:pPr>
              <w:spacing w:after="20" w:before="20"/>
              <w:jc w:val="left"/>
            </w:pPr>
            <w:r/>
            <w:r>
              <w:rPr>
                <w:b/>
                <w:color w:val="FFFFFF"/>
                <w:sz w:val="17"/>
              </w:rPr>
              <w:t>Rule</w:t>
            </w:r>
          </w:p>
        </w:tc>
        <w:tc>
          <w:tcPr>
            <w:tcW w:type="dxa" w:w="1134"/>
            <w:shd w:val="clear" w:color="auto" w:fill="1F2933"/>
          </w:tcPr>
          <w:p>
            <w:pPr>
              <w:spacing w:after="20" w:before="20"/>
              <w:jc w:val="left"/>
            </w:pPr>
            <w:r/>
            <w:r>
              <w:rPr>
                <w:b/>
                <w:color w:val="FFFFFF"/>
                <w:sz w:val="17"/>
              </w:rPr>
              <w:t>Tier</w:t>
            </w:r>
          </w:p>
        </w:tc>
        <w:tc>
          <w:tcPr>
            <w:tcW w:type="dxa" w:w="7597"/>
            <w:shd w:val="clear" w:color="auto" w:fill="1F2933"/>
          </w:tcPr>
          <w:p>
            <w:pPr>
              <w:spacing w:after="20" w:before="20"/>
              <w:jc w:val="left"/>
            </w:pPr>
            <w:r/>
            <w:r>
              <w:rPr>
                <w:b/>
                <w:color w:val="FFFFFF"/>
                <w:sz w:val="17"/>
              </w:rPr>
              <w:t>Condition</w:t>
            </w:r>
          </w:p>
        </w:tc>
      </w:tr>
      <w:tr>
        <w:trPr>
          <w:cantSplit w:val="true"/>
        </w:trPr>
        <w:tc>
          <w:tcPr>
            <w:tcW w:type="dxa" w:w="907"/>
          </w:tcPr>
          <w:p>
            <w:pPr>
              <w:spacing w:after="20" w:before="20"/>
              <w:jc w:val="left"/>
            </w:pPr>
            <w:r/>
            <w:r>
              <w:rPr>
                <w:b w:val="0"/>
                <w:sz w:val="17"/>
              </w:rPr>
              <w:t>T1</w:t>
            </w:r>
          </w:p>
        </w:tc>
        <w:tc>
          <w:tcPr>
            <w:tcW w:type="dxa" w:w="1134"/>
          </w:tcPr>
          <w:p>
            <w:pPr>
              <w:spacing w:after="20" w:before="20"/>
              <w:jc w:val="left"/>
            </w:pPr>
            <w:r/>
            <w:r>
              <w:rPr>
                <w:b w:val="0"/>
                <w:sz w:val="17"/>
              </w:rPr>
              <w:t>High</w:t>
            </w:r>
          </w:p>
        </w:tc>
        <w:tc>
          <w:tcPr>
            <w:tcW w:type="dxa" w:w="7597"/>
          </w:tcPr>
          <w:p>
            <w:pPr>
              <w:spacing w:after="20" w:before="20"/>
              <w:jc w:val="left"/>
            </w:pPr>
            <w:r/>
            <w:r>
              <w:rPr>
                <w:b w:val="0"/>
                <w:sz w:val="17"/>
              </w:rPr>
              <w:t>Automated decisions about customers that use personal data</w:t>
            </w:r>
          </w:p>
        </w:tc>
      </w:tr>
      <w:tr>
        <w:trPr>
          <w:cantSplit w:val="true"/>
        </w:trPr>
        <w:tc>
          <w:tcPr>
            <w:tcW w:type="dxa" w:w="907"/>
          </w:tcPr>
          <w:p>
            <w:pPr>
              <w:spacing w:after="20" w:before="20"/>
              <w:jc w:val="left"/>
            </w:pPr>
            <w:r/>
            <w:r>
              <w:rPr>
                <w:b w:val="0"/>
                <w:sz w:val="17"/>
              </w:rPr>
              <w:t>T2</w:t>
            </w:r>
          </w:p>
        </w:tc>
        <w:tc>
          <w:tcPr>
            <w:tcW w:type="dxa" w:w="1134"/>
          </w:tcPr>
          <w:p>
            <w:pPr>
              <w:spacing w:after="20" w:before="20"/>
              <w:jc w:val="left"/>
            </w:pPr>
            <w:r/>
            <w:r>
              <w:rPr>
                <w:b w:val="0"/>
                <w:sz w:val="17"/>
              </w:rPr>
              <w:t>High</w:t>
            </w:r>
          </w:p>
        </w:tc>
        <w:tc>
          <w:tcPr>
            <w:tcW w:type="dxa" w:w="7597"/>
          </w:tcPr>
          <w:p>
            <w:pPr>
              <w:spacing w:after="20" w:before="20"/>
              <w:jc w:val="left"/>
            </w:pPr>
            <w:r/>
            <w:r>
              <w:rPr>
                <w:b w:val="0"/>
                <w:sz w:val="17"/>
              </w:rPr>
              <w:t>Sensitive data used in a use case that affects customers</w:t>
            </w:r>
          </w:p>
        </w:tc>
      </w:tr>
      <w:tr>
        <w:trPr>
          <w:cantSplit w:val="true"/>
        </w:trPr>
        <w:tc>
          <w:tcPr>
            <w:tcW w:type="dxa" w:w="907"/>
          </w:tcPr>
          <w:p>
            <w:pPr>
              <w:spacing w:after="20" w:before="20"/>
              <w:jc w:val="left"/>
            </w:pPr>
            <w:r/>
            <w:r>
              <w:rPr>
                <w:b w:val="0"/>
                <w:sz w:val="17"/>
              </w:rPr>
              <w:t>T3</w:t>
            </w:r>
          </w:p>
        </w:tc>
        <w:tc>
          <w:tcPr>
            <w:tcW w:type="dxa" w:w="1134"/>
          </w:tcPr>
          <w:p>
            <w:pPr>
              <w:spacing w:after="20" w:before="20"/>
              <w:jc w:val="left"/>
            </w:pPr>
            <w:r/>
            <w:r>
              <w:rPr>
                <w:b w:val="0"/>
                <w:sz w:val="17"/>
              </w:rPr>
              <w:t>High</w:t>
            </w:r>
          </w:p>
        </w:tc>
        <w:tc>
          <w:tcPr>
            <w:tcW w:type="dxa" w:w="7597"/>
          </w:tcPr>
          <w:p>
            <w:pPr>
              <w:spacing w:after="20" w:before="20"/>
              <w:jc w:val="left"/>
            </w:pPr>
            <w:r/>
            <w:r>
              <w:rPr>
                <w:b w:val="0"/>
                <w:sz w:val="17"/>
              </w:rPr>
              <w:t>Two or more incidents in the last 12 months on a use case that uses personal data</w:t>
            </w:r>
          </w:p>
        </w:tc>
      </w:tr>
      <w:tr>
        <w:trPr>
          <w:cantSplit w:val="true"/>
        </w:trPr>
        <w:tc>
          <w:tcPr>
            <w:tcW w:type="dxa" w:w="907"/>
          </w:tcPr>
          <w:p>
            <w:pPr>
              <w:spacing w:after="20" w:before="20"/>
              <w:jc w:val="left"/>
            </w:pPr>
            <w:r/>
            <w:r>
              <w:rPr>
                <w:b w:val="0"/>
                <w:sz w:val="17"/>
              </w:rPr>
              <w:t>T4</w:t>
            </w:r>
          </w:p>
        </w:tc>
        <w:tc>
          <w:tcPr>
            <w:tcW w:type="dxa" w:w="1134"/>
          </w:tcPr>
          <w:p>
            <w:pPr>
              <w:spacing w:after="20" w:before="20"/>
              <w:jc w:val="left"/>
            </w:pPr>
            <w:r/>
            <w:r>
              <w:rPr>
                <w:b w:val="0"/>
                <w:sz w:val="17"/>
              </w:rPr>
              <w:t>Medium</w:t>
            </w:r>
          </w:p>
        </w:tc>
        <w:tc>
          <w:tcPr>
            <w:tcW w:type="dxa" w:w="7597"/>
          </w:tcPr>
          <w:p>
            <w:pPr>
              <w:spacing w:after="20" w:before="20"/>
              <w:jc w:val="left"/>
            </w:pPr>
            <w:r/>
            <w:r>
              <w:rPr>
                <w:b w:val="0"/>
                <w:sz w:val="17"/>
              </w:rPr>
              <w:t>Automated decisions (customers or staff), no personal data</w:t>
            </w:r>
          </w:p>
        </w:tc>
      </w:tr>
      <w:tr>
        <w:trPr>
          <w:cantSplit w:val="true"/>
        </w:trPr>
        <w:tc>
          <w:tcPr>
            <w:tcW w:type="dxa" w:w="907"/>
          </w:tcPr>
          <w:p>
            <w:pPr>
              <w:spacing w:after="20" w:before="20"/>
              <w:jc w:val="left"/>
            </w:pPr>
            <w:r/>
            <w:r>
              <w:rPr>
                <w:b w:val="0"/>
                <w:sz w:val="17"/>
              </w:rPr>
              <w:t>T5</w:t>
            </w:r>
          </w:p>
        </w:tc>
        <w:tc>
          <w:tcPr>
            <w:tcW w:type="dxa" w:w="1134"/>
          </w:tcPr>
          <w:p>
            <w:pPr>
              <w:spacing w:after="20" w:before="20"/>
              <w:jc w:val="left"/>
            </w:pPr>
            <w:r/>
            <w:r>
              <w:rPr>
                <w:b w:val="0"/>
                <w:sz w:val="17"/>
              </w:rPr>
              <w:t>Medium</w:t>
            </w:r>
          </w:p>
        </w:tc>
        <w:tc>
          <w:tcPr>
            <w:tcW w:type="dxa" w:w="7597"/>
          </w:tcPr>
          <w:p>
            <w:pPr>
              <w:spacing w:after="20" w:before="20"/>
              <w:jc w:val="left"/>
            </w:pPr>
            <w:r/>
            <w:r>
              <w:rPr>
                <w:b w:val="0"/>
                <w:sz w:val="17"/>
              </w:rPr>
              <w:t>Customer-facing use case that uses personal data (advisory)</w:t>
            </w:r>
          </w:p>
        </w:tc>
      </w:tr>
      <w:tr>
        <w:trPr>
          <w:cantSplit w:val="true"/>
        </w:trPr>
        <w:tc>
          <w:tcPr>
            <w:tcW w:type="dxa" w:w="907"/>
          </w:tcPr>
          <w:p>
            <w:pPr>
              <w:spacing w:after="20" w:before="20"/>
              <w:jc w:val="left"/>
            </w:pPr>
            <w:r/>
            <w:r>
              <w:rPr>
                <w:b w:val="0"/>
                <w:sz w:val="17"/>
              </w:rPr>
              <w:t>T6</w:t>
            </w:r>
          </w:p>
        </w:tc>
        <w:tc>
          <w:tcPr>
            <w:tcW w:type="dxa" w:w="1134"/>
          </w:tcPr>
          <w:p>
            <w:pPr>
              <w:spacing w:after="20" w:before="20"/>
              <w:jc w:val="left"/>
            </w:pPr>
            <w:r/>
            <w:r>
              <w:rPr>
                <w:b w:val="0"/>
                <w:sz w:val="17"/>
              </w:rPr>
              <w:t>Medium</w:t>
            </w:r>
          </w:p>
        </w:tc>
        <w:tc>
          <w:tcPr>
            <w:tcW w:type="dxa" w:w="7597"/>
          </w:tcPr>
          <w:p>
            <w:pPr>
              <w:spacing w:after="20" w:before="20"/>
              <w:jc w:val="left"/>
            </w:pPr>
            <w:r/>
            <w:r>
              <w:rPr>
                <w:b w:val="0"/>
                <w:sz w:val="17"/>
              </w:rPr>
              <w:t>Personal or sensitive data hosted outside India</w:t>
            </w:r>
          </w:p>
        </w:tc>
      </w:tr>
      <w:tr>
        <w:trPr>
          <w:cantSplit w:val="true"/>
        </w:trPr>
        <w:tc>
          <w:tcPr>
            <w:tcW w:type="dxa" w:w="907"/>
          </w:tcPr>
          <w:p>
            <w:pPr>
              <w:spacing w:after="20" w:before="20"/>
              <w:jc w:val="left"/>
            </w:pPr>
            <w:r/>
            <w:r>
              <w:rPr>
                <w:b w:val="0"/>
                <w:sz w:val="17"/>
              </w:rPr>
              <w:t>T7</w:t>
            </w:r>
          </w:p>
        </w:tc>
        <w:tc>
          <w:tcPr>
            <w:tcW w:type="dxa" w:w="1134"/>
          </w:tcPr>
          <w:p>
            <w:pPr>
              <w:spacing w:after="20" w:before="20"/>
              <w:jc w:val="left"/>
            </w:pPr>
            <w:r/>
            <w:r>
              <w:rPr>
                <w:b w:val="0"/>
                <w:sz w:val="17"/>
              </w:rPr>
              <w:t>Medium</w:t>
            </w:r>
          </w:p>
        </w:tc>
        <w:tc>
          <w:tcPr>
            <w:tcW w:type="dxa" w:w="7597"/>
          </w:tcPr>
          <w:p>
            <w:pPr>
              <w:spacing w:after="20" w:before="20"/>
              <w:jc w:val="left"/>
            </w:pPr>
            <w:r/>
            <w:r>
              <w:rPr>
                <w:b w:val="0"/>
                <w:sz w:val="17"/>
              </w:rPr>
              <w:t>Sensitive data used</w:t>
            </w:r>
          </w:p>
        </w:tc>
      </w:tr>
      <w:tr>
        <w:trPr>
          <w:cantSplit w:val="true"/>
        </w:trPr>
        <w:tc>
          <w:tcPr>
            <w:tcW w:type="dxa" w:w="907"/>
          </w:tcPr>
          <w:p>
            <w:pPr>
              <w:spacing w:after="20" w:before="20"/>
              <w:jc w:val="left"/>
            </w:pPr>
            <w:r/>
            <w:r>
              <w:rPr>
                <w:b w:val="0"/>
                <w:sz w:val="17"/>
              </w:rPr>
              <w:t>default</w:t>
            </w:r>
          </w:p>
        </w:tc>
        <w:tc>
          <w:tcPr>
            <w:tcW w:type="dxa" w:w="1134"/>
          </w:tcPr>
          <w:p>
            <w:pPr>
              <w:spacing w:after="20" w:before="20"/>
              <w:jc w:val="left"/>
            </w:pPr>
            <w:r/>
            <w:r>
              <w:rPr>
                <w:b w:val="0"/>
                <w:sz w:val="17"/>
              </w:rPr>
              <w:t>Low</w:t>
            </w:r>
          </w:p>
        </w:tc>
        <w:tc>
          <w:tcPr>
            <w:tcW w:type="dxa" w:w="7597"/>
          </w:tcPr>
          <w:p>
            <w:pPr>
              <w:spacing w:after="20" w:before="20"/>
              <w:jc w:val="left"/>
            </w:pPr>
            <w:r/>
            <w:r>
              <w:rPr>
                <w:b w:val="0"/>
                <w:sz w:val="17"/>
              </w:rPr>
              <w:t>No rule matched</w:t>
            </w:r>
          </w:p>
        </w:tc>
      </w:tr>
    </w:tbl>
    <w:p>
      <w:pPr>
        <w:spacing w:after="40"/>
      </w:pPr>
      <w:r>
        <w:rPr>
          <w:b w:val="0"/>
          <w:i w:val="0"/>
        </w:rPr>
      </w:r>
    </w:p>
    <w:p>
      <w:r>
        <w:rPr>
          <w:b w:val="0"/>
          <w:i w:val="0"/>
          <w:color w:val="52606D"/>
          <w:sz w:val="18"/>
        </w:rPr>
        <w:t>Gap severity = check weight x shortfall x tier factor (High 3, Medium 2, Low 1). A result of 7 or more is High, 3 or more is Medium, otherwise Low. Area scores across use cases are tier-weighted means.</w:t>
      </w:r>
    </w:p>
    <w:p>
      <w:r>
        <w:br w:type="page"/>
      </w:r>
    </w:p>
    <w:p>
      <w:pPr>
        <w:pStyle w:val="Heading1"/>
      </w:pPr>
      <w:r>
        <w:t>4. Inventory overview</w:t>
      </w:r>
    </w:p>
    <w:p>
      <w:r>
        <w:rPr>
          <w:b w:val="0"/>
          <w:i w:val="0"/>
        </w:rPr>
        <w:t>12 use cases: 6 High, 4 Medium, 2 Low. 6 use generative AI, 9 rely on a third-party model or vendor, and 11 use personal data.</w:t>
      </w:r>
    </w:p>
    <w:p>
      <w:r>
        <w:drawing>
          <wp:inline xmlns:a="http://schemas.openxmlformats.org/drawingml/2006/main" xmlns:pic="http://schemas.openxmlformats.org/drawingml/2006/picture">
            <wp:extent cx="6120000" cy="4692000"/>
            <wp:docPr id="1" name="Picture 1"/>
            <wp:cNvGraphicFramePr>
              <a:graphicFrameLocks noChangeAspect="1"/>
            </wp:cNvGraphicFramePr>
            <a:graphic>
              <a:graphicData uri="http://schemas.openxmlformats.org/drawingml/2006/picture">
                <pic:pic>
                  <pic:nvPicPr>
                    <pic:cNvPr id="0" name="heatmap.png"/>
                    <pic:cNvPicPr/>
                  </pic:nvPicPr>
                  <pic:blipFill>
                    <a:blip r:embed="rId10"/>
                    <a:stretch>
                      <a:fillRect/>
                    </a:stretch>
                  </pic:blipFill>
                  <pic:spPr>
                    <a:xfrm>
                      <a:off x="0" y="0"/>
                      <a:ext cx="6120000" cy="4692000"/>
                    </a:xfrm>
                    <a:prstGeom prst="rect"/>
                  </pic:spPr>
                </pic:pic>
              </a:graphicData>
            </a:graphic>
          </wp:inline>
        </w:drawing>
      </w:r>
    </w:p>
    <w:p>
      <w:pPr>
        <w:spacing w:after="40"/>
      </w:pPr>
      <w:r>
        <w:rPr>
          <w:b w:val="0"/>
          <w:i w:val="0"/>
        </w:rPr>
      </w:r>
    </w:p>
    <w:tbl>
      <w:tblPr>
        <w:tblStyle w:val="TableGrid"/>
        <w:tblW w:type="auto" w:w="0"/>
        <w:jc w:val="center"/>
        <w:tblLayout w:type="fixed"/>
        <w:tblLook w:firstColumn="1" w:firstRow="1" w:lastColumn="0" w:lastRow="0" w:noHBand="0" w:noVBand="1" w:val="04A0"/>
      </w:tblPr>
      <w:tblGrid>
        <w:gridCol w:w="1020"/>
        <w:gridCol w:w="4762"/>
        <w:gridCol w:w="2608"/>
        <w:gridCol w:w="1247"/>
      </w:tblGrid>
      <w:tr>
        <w:trPr>
          <w:tblHeader w:val="true"/>
        </w:trPr>
        <w:tc>
          <w:tcPr>
            <w:tcW w:type="dxa" w:w="1020"/>
            <w:shd w:val="clear" w:color="auto" w:fill="1F2933"/>
          </w:tcPr>
          <w:p>
            <w:pPr>
              <w:spacing w:after="20" w:before="20"/>
              <w:jc w:val="left"/>
            </w:pPr>
            <w:r/>
            <w:r>
              <w:rPr>
                <w:b/>
                <w:color w:val="FFFFFF"/>
                <w:sz w:val="17"/>
              </w:rPr>
              <w:t>ID</w:t>
            </w:r>
          </w:p>
        </w:tc>
        <w:tc>
          <w:tcPr>
            <w:tcW w:type="dxa" w:w="4762"/>
            <w:shd w:val="clear" w:color="auto" w:fill="1F2933"/>
          </w:tcPr>
          <w:p>
            <w:pPr>
              <w:spacing w:after="20" w:before="20"/>
              <w:jc w:val="left"/>
            </w:pPr>
            <w:r/>
            <w:r>
              <w:rPr>
                <w:b/>
                <w:color w:val="FFFFFF"/>
                <w:sz w:val="17"/>
              </w:rPr>
              <w:t>Use case</w:t>
            </w:r>
          </w:p>
        </w:tc>
        <w:tc>
          <w:tcPr>
            <w:tcW w:type="dxa" w:w="2608"/>
            <w:shd w:val="clear" w:color="auto" w:fill="1F2933"/>
          </w:tcPr>
          <w:p>
            <w:pPr>
              <w:spacing w:after="20" w:before="20"/>
              <w:jc w:val="left"/>
            </w:pPr>
            <w:r/>
            <w:r>
              <w:rPr>
                <w:b/>
                <w:color w:val="FFFFFF"/>
                <w:sz w:val="17"/>
              </w:rPr>
              <w:t>Assessed tier</w:t>
            </w:r>
          </w:p>
        </w:tc>
        <w:tc>
          <w:tcPr>
            <w:tcW w:type="dxa" w:w="1247"/>
            <w:shd w:val="clear" w:color="auto" w:fill="1F2933"/>
          </w:tcPr>
          <w:p>
            <w:pPr>
              <w:spacing w:after="20" w:before="20"/>
              <w:jc w:val="left"/>
            </w:pPr>
            <w:r/>
            <w:r>
              <w:rPr>
                <w:b/>
                <w:color w:val="FFFFFF"/>
                <w:sz w:val="17"/>
              </w:rPr>
              <w:t>Average</w:t>
            </w:r>
          </w:p>
        </w:tc>
      </w:tr>
      <w:tr>
        <w:trPr>
          <w:cantSplit w:val="true"/>
        </w:trPr>
        <w:tc>
          <w:tcPr>
            <w:tcW w:type="dxa" w:w="1020"/>
          </w:tcPr>
          <w:p>
            <w:pPr>
              <w:spacing w:after="20" w:before="20"/>
              <w:jc w:val="left"/>
            </w:pPr>
            <w:r/>
            <w:r>
              <w:rPr>
                <w:b w:val="0"/>
                <w:sz w:val="17"/>
              </w:rPr>
              <w:t>AI-01</w:t>
            </w:r>
          </w:p>
        </w:tc>
        <w:tc>
          <w:tcPr>
            <w:tcW w:type="dxa" w:w="4762"/>
          </w:tcPr>
          <w:p>
            <w:pPr>
              <w:spacing w:after="20" w:before="20"/>
              <w:jc w:val="left"/>
            </w:pPr>
            <w:r/>
            <w:r>
              <w:rPr>
                <w:b w:val="0"/>
                <w:sz w:val="17"/>
              </w:rPr>
              <w:t>Loan origination scorecard</w:t>
            </w:r>
          </w:p>
        </w:tc>
        <w:tc>
          <w:tcPr>
            <w:tcW w:type="dxa" w:w="2608"/>
            <w:shd w:val="clear" w:color="auto" w:fill="C0392B"/>
          </w:tcPr>
          <w:p>
            <w:pPr>
              <w:spacing w:after="20" w:before="20"/>
              <w:jc w:val="left"/>
            </w:pPr>
            <w:r/>
            <w:r>
              <w:rPr>
                <w:b/>
                <w:color w:val="FFFFFF"/>
                <w:sz w:val="17"/>
              </w:rPr>
              <w:t>High</w:t>
            </w:r>
          </w:p>
        </w:tc>
        <w:tc>
          <w:tcPr>
            <w:tcW w:type="dxa" w:w="1247"/>
            <w:shd w:val="clear" w:color="auto" w:fill="174A80"/>
          </w:tcPr>
          <w:p>
            <w:pPr>
              <w:spacing w:after="20" w:before="20"/>
              <w:jc w:val="center"/>
            </w:pPr>
            <w:r/>
            <w:r>
              <w:rPr>
                <w:b/>
                <w:color w:val="FFFFFF"/>
                <w:sz w:val="17"/>
              </w:rPr>
              <w:t>3.8</w:t>
            </w:r>
          </w:p>
        </w:tc>
      </w:tr>
      <w:tr>
        <w:trPr>
          <w:cantSplit w:val="true"/>
        </w:trPr>
        <w:tc>
          <w:tcPr>
            <w:tcW w:type="dxa" w:w="1020"/>
          </w:tcPr>
          <w:p>
            <w:pPr>
              <w:spacing w:after="20" w:before="20"/>
              <w:jc w:val="left"/>
            </w:pPr>
            <w:r/>
            <w:r>
              <w:rPr>
                <w:b w:val="0"/>
                <w:sz w:val="17"/>
              </w:rPr>
              <w:t>AI-02</w:t>
            </w:r>
          </w:p>
        </w:tc>
        <w:tc>
          <w:tcPr>
            <w:tcW w:type="dxa" w:w="4762"/>
          </w:tcPr>
          <w:p>
            <w:pPr>
              <w:spacing w:after="20" w:before="20"/>
              <w:jc w:val="left"/>
            </w:pPr>
            <w:r/>
            <w:r>
              <w:rPr>
                <w:b w:val="0"/>
                <w:sz w:val="17"/>
              </w:rPr>
              <w:t>Income estimation from bank statements</w:t>
            </w:r>
          </w:p>
        </w:tc>
        <w:tc>
          <w:tcPr>
            <w:tcW w:type="dxa" w:w="2608"/>
            <w:shd w:val="clear" w:color="auto" w:fill="C0392B"/>
          </w:tcPr>
          <w:p>
            <w:pPr>
              <w:spacing w:after="20" w:before="20"/>
              <w:jc w:val="left"/>
            </w:pPr>
            <w:r/>
            <w:r>
              <w:rPr>
                <w:b/>
                <w:color w:val="FFFFFF"/>
                <w:sz w:val="17"/>
              </w:rPr>
              <w:t>High</w:t>
            </w:r>
          </w:p>
        </w:tc>
        <w:tc>
          <w:tcPr>
            <w:tcW w:type="dxa" w:w="1247"/>
            <w:shd w:val="clear" w:color="auto" w:fill="2E75B6"/>
          </w:tcPr>
          <w:p>
            <w:pPr>
              <w:spacing w:after="20" w:before="20"/>
              <w:jc w:val="center"/>
            </w:pPr>
            <w:r/>
            <w:r>
              <w:rPr>
                <w:b/>
                <w:color w:val="FFFFFF"/>
                <w:sz w:val="17"/>
              </w:rPr>
              <w:t>2.8</w:t>
            </w:r>
          </w:p>
        </w:tc>
      </w:tr>
      <w:tr>
        <w:trPr>
          <w:cantSplit w:val="true"/>
        </w:trPr>
        <w:tc>
          <w:tcPr>
            <w:tcW w:type="dxa" w:w="1020"/>
          </w:tcPr>
          <w:p>
            <w:pPr>
              <w:spacing w:after="20" w:before="20"/>
              <w:jc w:val="left"/>
            </w:pPr>
            <w:r/>
            <w:r>
              <w:rPr>
                <w:b w:val="0"/>
                <w:sz w:val="17"/>
              </w:rPr>
              <w:t>AI-03</w:t>
            </w:r>
          </w:p>
        </w:tc>
        <w:tc>
          <w:tcPr>
            <w:tcW w:type="dxa" w:w="4762"/>
          </w:tcPr>
          <w:p>
            <w:pPr>
              <w:spacing w:after="20" w:before="20"/>
              <w:jc w:val="left"/>
            </w:pPr>
            <w:r/>
            <w:r>
              <w:rPr>
                <w:b w:val="0"/>
                <w:sz w:val="17"/>
              </w:rPr>
              <w:t>Collections prioritisation model</w:t>
            </w:r>
          </w:p>
        </w:tc>
        <w:tc>
          <w:tcPr>
            <w:tcW w:type="dxa" w:w="2608"/>
            <w:shd w:val="clear" w:color="auto" w:fill="E6A23C"/>
          </w:tcPr>
          <w:p>
            <w:pPr>
              <w:spacing w:after="20" w:before="20"/>
              <w:jc w:val="left"/>
            </w:pPr>
            <w:r/>
            <w:r>
              <w:rPr>
                <w:b/>
                <w:color w:val="1A1A1A"/>
                <w:sz w:val="17"/>
              </w:rPr>
              <w:t>Medium</w:t>
            </w:r>
          </w:p>
        </w:tc>
        <w:tc>
          <w:tcPr>
            <w:tcW w:type="dxa" w:w="1247"/>
            <w:shd w:val="clear" w:color="auto" w:fill="2E75B6"/>
          </w:tcPr>
          <w:p>
            <w:pPr>
              <w:spacing w:after="20" w:before="20"/>
              <w:jc w:val="center"/>
            </w:pPr>
            <w:r/>
            <w:r>
              <w:rPr>
                <w:b/>
                <w:color w:val="FFFFFF"/>
                <w:sz w:val="17"/>
              </w:rPr>
              <w:t>3.4</w:t>
            </w:r>
          </w:p>
        </w:tc>
      </w:tr>
      <w:tr>
        <w:trPr>
          <w:cantSplit w:val="true"/>
        </w:trPr>
        <w:tc>
          <w:tcPr>
            <w:tcW w:type="dxa" w:w="1020"/>
          </w:tcPr>
          <w:p>
            <w:pPr>
              <w:spacing w:after="20" w:before="20"/>
              <w:jc w:val="left"/>
            </w:pPr>
            <w:r/>
            <w:r>
              <w:rPr>
                <w:b w:val="0"/>
                <w:sz w:val="17"/>
              </w:rPr>
              <w:t>AI-04</w:t>
            </w:r>
          </w:p>
        </w:tc>
        <w:tc>
          <w:tcPr>
            <w:tcW w:type="dxa" w:w="4762"/>
          </w:tcPr>
          <w:p>
            <w:pPr>
              <w:spacing w:after="20" w:before="20"/>
              <w:jc w:val="left"/>
            </w:pPr>
            <w:r/>
            <w:r>
              <w:rPr>
                <w:b w:val="0"/>
                <w:sz w:val="17"/>
              </w:rPr>
              <w:t>EMI reminder voice bot</w:t>
            </w:r>
          </w:p>
        </w:tc>
        <w:tc>
          <w:tcPr>
            <w:tcW w:type="dxa" w:w="2608"/>
            <w:shd w:val="clear" w:color="auto" w:fill="C0392B"/>
          </w:tcPr>
          <w:p>
            <w:pPr>
              <w:spacing w:after="20" w:before="20"/>
              <w:jc w:val="left"/>
            </w:pPr>
            <w:r/>
            <w:r>
              <w:rPr>
                <w:b/>
                <w:color w:val="FFFFFF"/>
                <w:sz w:val="17"/>
              </w:rPr>
              <w:t>High</w:t>
            </w:r>
          </w:p>
        </w:tc>
        <w:tc>
          <w:tcPr>
            <w:tcW w:type="dxa" w:w="1247"/>
            <w:shd w:val="clear" w:color="auto" w:fill="9FC3E6"/>
          </w:tcPr>
          <w:p>
            <w:pPr>
              <w:spacing w:after="20" w:before="20"/>
              <w:jc w:val="center"/>
            </w:pPr>
            <w:r/>
            <w:r>
              <w:rPr>
                <w:b/>
                <w:color w:val="1A1A1A"/>
                <w:sz w:val="17"/>
              </w:rPr>
              <w:t>2.1</w:t>
            </w:r>
          </w:p>
        </w:tc>
      </w:tr>
      <w:tr>
        <w:trPr>
          <w:cantSplit w:val="true"/>
        </w:trPr>
        <w:tc>
          <w:tcPr>
            <w:tcW w:type="dxa" w:w="1020"/>
          </w:tcPr>
          <w:p>
            <w:pPr>
              <w:spacing w:after="20" w:before="20"/>
              <w:jc w:val="left"/>
            </w:pPr>
            <w:r/>
            <w:r>
              <w:rPr>
                <w:b w:val="0"/>
                <w:sz w:val="17"/>
              </w:rPr>
              <w:t>AI-05</w:t>
            </w:r>
          </w:p>
        </w:tc>
        <w:tc>
          <w:tcPr>
            <w:tcW w:type="dxa" w:w="4762"/>
          </w:tcPr>
          <w:p>
            <w:pPr>
              <w:spacing w:after="20" w:before="20"/>
              <w:jc w:val="left"/>
            </w:pPr>
            <w:r/>
            <w:r>
              <w:rPr>
                <w:b w:val="0"/>
                <w:sz w:val="17"/>
              </w:rPr>
              <w:t>Customer WhatsApp assistant</w:t>
            </w:r>
          </w:p>
        </w:tc>
        <w:tc>
          <w:tcPr>
            <w:tcW w:type="dxa" w:w="2608"/>
            <w:shd w:val="clear" w:color="auto" w:fill="C0392B"/>
          </w:tcPr>
          <w:p>
            <w:pPr>
              <w:spacing w:after="20" w:before="20"/>
              <w:jc w:val="left"/>
            </w:pPr>
            <w:r/>
            <w:r>
              <w:rPr>
                <w:b/>
                <w:color w:val="FFFFFF"/>
                <w:sz w:val="17"/>
              </w:rPr>
              <w:t>High</w:t>
            </w:r>
          </w:p>
        </w:tc>
        <w:tc>
          <w:tcPr>
            <w:tcW w:type="dxa" w:w="1247"/>
            <w:shd w:val="clear" w:color="auto" w:fill="9FC3E6"/>
          </w:tcPr>
          <w:p>
            <w:pPr>
              <w:spacing w:after="20" w:before="20"/>
              <w:jc w:val="center"/>
            </w:pPr>
            <w:r/>
            <w:r>
              <w:rPr>
                <w:b/>
                <w:color w:val="1A1A1A"/>
                <w:sz w:val="17"/>
              </w:rPr>
              <w:t>1.9</w:t>
            </w:r>
          </w:p>
        </w:tc>
      </w:tr>
      <w:tr>
        <w:trPr>
          <w:cantSplit w:val="true"/>
        </w:trPr>
        <w:tc>
          <w:tcPr>
            <w:tcW w:type="dxa" w:w="1020"/>
          </w:tcPr>
          <w:p>
            <w:pPr>
              <w:spacing w:after="20" w:before="20"/>
              <w:jc w:val="left"/>
            </w:pPr>
            <w:r/>
            <w:r>
              <w:rPr>
                <w:b w:val="0"/>
                <w:sz w:val="17"/>
              </w:rPr>
              <w:t>AI-06</w:t>
            </w:r>
          </w:p>
        </w:tc>
        <w:tc>
          <w:tcPr>
            <w:tcW w:type="dxa" w:w="4762"/>
          </w:tcPr>
          <w:p>
            <w:pPr>
              <w:spacing w:after="20" w:before="20"/>
              <w:jc w:val="left"/>
            </w:pPr>
            <w:r/>
            <w:r>
              <w:rPr>
                <w:b w:val="0"/>
                <w:sz w:val="17"/>
              </w:rPr>
              <w:t>KYC document verification</w:t>
            </w:r>
          </w:p>
        </w:tc>
        <w:tc>
          <w:tcPr>
            <w:tcW w:type="dxa" w:w="2608"/>
            <w:shd w:val="clear" w:color="auto" w:fill="C0392B"/>
          </w:tcPr>
          <w:p>
            <w:pPr>
              <w:spacing w:after="20" w:before="20"/>
              <w:jc w:val="left"/>
            </w:pPr>
            <w:r/>
            <w:r>
              <w:rPr>
                <w:b/>
                <w:color w:val="FFFFFF"/>
                <w:sz w:val="17"/>
              </w:rPr>
              <w:t>High</w:t>
            </w:r>
          </w:p>
        </w:tc>
        <w:tc>
          <w:tcPr>
            <w:tcW w:type="dxa" w:w="1247"/>
            <w:shd w:val="clear" w:color="auto" w:fill="174A80"/>
          </w:tcPr>
          <w:p>
            <w:pPr>
              <w:spacing w:after="20" w:before="20"/>
              <w:jc w:val="center"/>
            </w:pPr>
            <w:r/>
            <w:r>
              <w:rPr>
                <w:b/>
                <w:color w:val="FFFFFF"/>
                <w:sz w:val="17"/>
              </w:rPr>
              <w:t>3.8</w:t>
            </w:r>
          </w:p>
        </w:tc>
      </w:tr>
      <w:tr>
        <w:trPr>
          <w:cantSplit w:val="true"/>
        </w:trPr>
        <w:tc>
          <w:tcPr>
            <w:tcW w:type="dxa" w:w="1020"/>
          </w:tcPr>
          <w:p>
            <w:pPr>
              <w:spacing w:after="20" w:before="20"/>
              <w:jc w:val="left"/>
            </w:pPr>
            <w:r/>
            <w:r>
              <w:rPr>
                <w:b w:val="0"/>
                <w:sz w:val="17"/>
              </w:rPr>
              <w:t>AI-07</w:t>
            </w:r>
          </w:p>
        </w:tc>
        <w:tc>
          <w:tcPr>
            <w:tcW w:type="dxa" w:w="4762"/>
          </w:tcPr>
          <w:p>
            <w:pPr>
              <w:spacing w:after="20" w:before="20"/>
              <w:jc w:val="left"/>
            </w:pPr>
            <w:r/>
            <w:r>
              <w:rPr>
                <w:b w:val="0"/>
                <w:sz w:val="17"/>
              </w:rPr>
              <w:t>Disbursal fraud detection</w:t>
            </w:r>
          </w:p>
        </w:tc>
        <w:tc>
          <w:tcPr>
            <w:tcW w:type="dxa" w:w="2608"/>
            <w:shd w:val="clear" w:color="auto" w:fill="C0392B"/>
          </w:tcPr>
          <w:p>
            <w:pPr>
              <w:spacing w:after="20" w:before="20"/>
              <w:jc w:val="left"/>
            </w:pPr>
            <w:r/>
            <w:r>
              <w:rPr>
                <w:b/>
                <w:color w:val="FFFFFF"/>
                <w:sz w:val="17"/>
              </w:rPr>
              <w:t>High</w:t>
            </w:r>
          </w:p>
        </w:tc>
        <w:tc>
          <w:tcPr>
            <w:tcW w:type="dxa" w:w="1247"/>
            <w:shd w:val="clear" w:color="auto" w:fill="174A80"/>
          </w:tcPr>
          <w:p>
            <w:pPr>
              <w:spacing w:after="20" w:before="20"/>
              <w:jc w:val="center"/>
            </w:pPr>
            <w:r/>
            <w:r>
              <w:rPr>
                <w:b/>
                <w:color w:val="FFFFFF"/>
                <w:sz w:val="17"/>
              </w:rPr>
              <w:t>3.8</w:t>
            </w:r>
          </w:p>
        </w:tc>
      </w:tr>
      <w:tr>
        <w:trPr>
          <w:cantSplit w:val="true"/>
        </w:trPr>
        <w:tc>
          <w:tcPr>
            <w:tcW w:type="dxa" w:w="1020"/>
          </w:tcPr>
          <w:p>
            <w:pPr>
              <w:spacing w:after="20" w:before="20"/>
              <w:jc w:val="left"/>
            </w:pPr>
            <w:r/>
            <w:r>
              <w:rPr>
                <w:b w:val="0"/>
                <w:sz w:val="17"/>
              </w:rPr>
              <w:t>AI-08</w:t>
            </w:r>
          </w:p>
        </w:tc>
        <w:tc>
          <w:tcPr>
            <w:tcW w:type="dxa" w:w="4762"/>
          </w:tcPr>
          <w:p>
            <w:pPr>
              <w:spacing w:after="20" w:before="20"/>
              <w:jc w:val="left"/>
            </w:pPr>
            <w:r/>
            <w:r>
              <w:rPr>
                <w:b w:val="0"/>
                <w:sz w:val="17"/>
              </w:rPr>
              <w:t>AML alert triage assistant</w:t>
            </w:r>
          </w:p>
        </w:tc>
        <w:tc>
          <w:tcPr>
            <w:tcW w:type="dxa" w:w="2608"/>
            <w:shd w:val="clear" w:color="auto" w:fill="E6A23C"/>
          </w:tcPr>
          <w:p>
            <w:pPr>
              <w:spacing w:after="20" w:before="20"/>
              <w:jc w:val="left"/>
            </w:pPr>
            <w:r/>
            <w:r>
              <w:rPr>
                <w:b/>
                <w:color w:val="1A1A1A"/>
                <w:sz w:val="17"/>
              </w:rPr>
              <w:t>Medium</w:t>
            </w:r>
          </w:p>
        </w:tc>
        <w:tc>
          <w:tcPr>
            <w:tcW w:type="dxa" w:w="1247"/>
            <w:shd w:val="clear" w:color="auto" w:fill="2E75B6"/>
          </w:tcPr>
          <w:p>
            <w:pPr>
              <w:spacing w:after="20" w:before="20"/>
              <w:jc w:val="center"/>
            </w:pPr>
            <w:r/>
            <w:r>
              <w:rPr>
                <w:b/>
                <w:color w:val="FFFFFF"/>
                <w:sz w:val="17"/>
              </w:rPr>
              <w:t>3.1</w:t>
            </w:r>
          </w:p>
        </w:tc>
      </w:tr>
      <w:tr>
        <w:trPr>
          <w:cantSplit w:val="true"/>
        </w:trPr>
        <w:tc>
          <w:tcPr>
            <w:tcW w:type="dxa" w:w="1020"/>
          </w:tcPr>
          <w:p>
            <w:pPr>
              <w:spacing w:after="20" w:before="20"/>
              <w:jc w:val="left"/>
            </w:pPr>
            <w:r/>
            <w:r>
              <w:rPr>
                <w:b w:val="0"/>
                <w:sz w:val="17"/>
              </w:rPr>
              <w:t>AI-09</w:t>
            </w:r>
          </w:p>
        </w:tc>
        <w:tc>
          <w:tcPr>
            <w:tcW w:type="dxa" w:w="4762"/>
          </w:tcPr>
          <w:p>
            <w:pPr>
              <w:spacing w:after="20" w:before="20"/>
              <w:jc w:val="left"/>
            </w:pPr>
            <w:r/>
            <w:r>
              <w:rPr>
                <w:b w:val="0"/>
                <w:sz w:val="17"/>
              </w:rPr>
              <w:t>Credit memo drafting copilot</w:t>
            </w:r>
          </w:p>
        </w:tc>
        <w:tc>
          <w:tcPr>
            <w:tcW w:type="dxa" w:w="2608"/>
            <w:shd w:val="clear" w:color="auto" w:fill="D5DBE3"/>
          </w:tcPr>
          <w:p>
            <w:pPr>
              <w:spacing w:after="20" w:before="20"/>
              <w:jc w:val="left"/>
            </w:pPr>
            <w:r/>
            <w:r>
              <w:rPr>
                <w:b/>
                <w:color w:val="1A1A1A"/>
                <w:sz w:val="17"/>
              </w:rPr>
              <w:t>Low</w:t>
            </w:r>
          </w:p>
        </w:tc>
        <w:tc>
          <w:tcPr>
            <w:tcW w:type="dxa" w:w="1247"/>
            <w:shd w:val="clear" w:color="auto" w:fill="2E75B6"/>
          </w:tcPr>
          <w:p>
            <w:pPr>
              <w:spacing w:after="20" w:before="20"/>
              <w:jc w:val="center"/>
            </w:pPr>
            <w:r/>
            <w:r>
              <w:rPr>
                <w:b/>
                <w:color w:val="FFFFFF"/>
                <w:sz w:val="17"/>
              </w:rPr>
              <w:t>3.2</w:t>
            </w:r>
          </w:p>
        </w:tc>
      </w:tr>
      <w:tr>
        <w:trPr>
          <w:cantSplit w:val="true"/>
        </w:trPr>
        <w:tc>
          <w:tcPr>
            <w:tcW w:type="dxa" w:w="1020"/>
          </w:tcPr>
          <w:p>
            <w:pPr>
              <w:spacing w:after="20" w:before="20"/>
              <w:jc w:val="left"/>
            </w:pPr>
            <w:r/>
            <w:r>
              <w:rPr>
                <w:b w:val="0"/>
                <w:sz w:val="17"/>
              </w:rPr>
              <w:t>AI-10</w:t>
            </w:r>
          </w:p>
        </w:tc>
        <w:tc>
          <w:tcPr>
            <w:tcW w:type="dxa" w:w="4762"/>
          </w:tcPr>
          <w:p>
            <w:pPr>
              <w:spacing w:after="20" w:before="20"/>
              <w:jc w:val="left"/>
            </w:pPr>
            <w:r/>
            <w:r>
              <w:rPr>
                <w:b w:val="0"/>
                <w:sz w:val="17"/>
              </w:rPr>
              <w:t>CV screening tool</w:t>
            </w:r>
          </w:p>
        </w:tc>
        <w:tc>
          <w:tcPr>
            <w:tcW w:type="dxa" w:w="2608"/>
            <w:shd w:val="clear" w:color="auto" w:fill="E6A23C"/>
          </w:tcPr>
          <w:p>
            <w:pPr>
              <w:spacing w:after="20" w:before="20"/>
              <w:jc w:val="left"/>
            </w:pPr>
            <w:r/>
            <w:r>
              <w:rPr>
                <w:b/>
                <w:color w:val="1A1A1A"/>
                <w:sz w:val="17"/>
              </w:rPr>
              <w:t>Medium</w:t>
            </w:r>
          </w:p>
        </w:tc>
        <w:tc>
          <w:tcPr>
            <w:tcW w:type="dxa" w:w="1247"/>
            <w:shd w:val="clear" w:color="auto" w:fill="9FC3E6"/>
          </w:tcPr>
          <w:p>
            <w:pPr>
              <w:spacing w:after="20" w:before="20"/>
              <w:jc w:val="center"/>
            </w:pPr>
            <w:r/>
            <w:r>
              <w:rPr>
                <w:b/>
                <w:color w:val="1A1A1A"/>
                <w:sz w:val="17"/>
              </w:rPr>
              <w:t>2.1</w:t>
            </w:r>
          </w:p>
        </w:tc>
      </w:tr>
      <w:tr>
        <w:trPr>
          <w:cantSplit w:val="true"/>
        </w:trPr>
        <w:tc>
          <w:tcPr>
            <w:tcW w:type="dxa" w:w="1020"/>
          </w:tcPr>
          <w:p>
            <w:pPr>
              <w:spacing w:after="20" w:before="20"/>
              <w:jc w:val="left"/>
            </w:pPr>
            <w:r/>
            <w:r>
              <w:rPr>
                <w:b w:val="0"/>
                <w:sz w:val="17"/>
              </w:rPr>
              <w:t>AI-11</w:t>
            </w:r>
          </w:p>
        </w:tc>
        <w:tc>
          <w:tcPr>
            <w:tcW w:type="dxa" w:w="4762"/>
          </w:tcPr>
          <w:p>
            <w:pPr>
              <w:spacing w:after="20" w:before="20"/>
              <w:jc w:val="left"/>
            </w:pPr>
            <w:r/>
            <w:r>
              <w:rPr>
                <w:b w:val="0"/>
                <w:sz w:val="17"/>
              </w:rPr>
              <w:t>Grievance classification</w:t>
            </w:r>
          </w:p>
        </w:tc>
        <w:tc>
          <w:tcPr>
            <w:tcW w:type="dxa" w:w="2608"/>
            <w:shd w:val="clear" w:color="auto" w:fill="E6A23C"/>
          </w:tcPr>
          <w:p>
            <w:pPr>
              <w:spacing w:after="20" w:before="20"/>
              <w:jc w:val="left"/>
            </w:pPr>
            <w:r/>
            <w:r>
              <w:rPr>
                <w:b/>
                <w:color w:val="1A1A1A"/>
                <w:sz w:val="17"/>
              </w:rPr>
              <w:t>Medium</w:t>
            </w:r>
          </w:p>
        </w:tc>
        <w:tc>
          <w:tcPr>
            <w:tcW w:type="dxa" w:w="1247"/>
            <w:shd w:val="clear" w:color="auto" w:fill="2E75B6"/>
          </w:tcPr>
          <w:p>
            <w:pPr>
              <w:spacing w:after="20" w:before="20"/>
              <w:jc w:val="center"/>
            </w:pPr>
            <w:r/>
            <w:r>
              <w:rPr>
                <w:b/>
                <w:color w:val="FFFFFF"/>
                <w:sz w:val="17"/>
              </w:rPr>
              <w:t>3.4</w:t>
            </w:r>
          </w:p>
        </w:tc>
      </w:tr>
      <w:tr>
        <w:trPr>
          <w:cantSplit w:val="true"/>
        </w:trPr>
        <w:tc>
          <w:tcPr>
            <w:tcW w:type="dxa" w:w="1020"/>
          </w:tcPr>
          <w:p>
            <w:pPr>
              <w:spacing w:after="20" w:before="20"/>
              <w:jc w:val="left"/>
            </w:pPr>
            <w:r/>
            <w:r>
              <w:rPr>
                <w:b w:val="0"/>
                <w:sz w:val="17"/>
              </w:rPr>
              <w:t>AI-12</w:t>
            </w:r>
          </w:p>
        </w:tc>
        <w:tc>
          <w:tcPr>
            <w:tcW w:type="dxa" w:w="4762"/>
          </w:tcPr>
          <w:p>
            <w:pPr>
              <w:spacing w:after="20" w:before="20"/>
              <w:jc w:val="left"/>
            </w:pPr>
            <w:r/>
            <w:r>
              <w:rPr>
                <w:b w:val="0"/>
                <w:sz w:val="17"/>
              </w:rPr>
              <w:t>Branch policy Q&amp;A assistant</w:t>
            </w:r>
          </w:p>
        </w:tc>
        <w:tc>
          <w:tcPr>
            <w:tcW w:type="dxa" w:w="2608"/>
            <w:shd w:val="clear" w:color="auto" w:fill="D5DBE3"/>
          </w:tcPr>
          <w:p>
            <w:pPr>
              <w:spacing w:after="20" w:before="20"/>
              <w:jc w:val="left"/>
            </w:pPr>
            <w:r/>
            <w:r>
              <w:rPr>
                <w:b/>
                <w:color w:val="1A1A1A"/>
                <w:sz w:val="17"/>
              </w:rPr>
              <w:t>Low</w:t>
            </w:r>
          </w:p>
        </w:tc>
        <w:tc>
          <w:tcPr>
            <w:tcW w:type="dxa" w:w="1247"/>
            <w:shd w:val="clear" w:color="auto" w:fill="2E75B6"/>
          </w:tcPr>
          <w:p>
            <w:pPr>
              <w:spacing w:after="20" w:before="20"/>
              <w:jc w:val="center"/>
            </w:pPr>
            <w:r/>
            <w:r>
              <w:rPr>
                <w:b/>
                <w:color w:val="FFFFFF"/>
                <w:sz w:val="17"/>
              </w:rPr>
              <w:t>3.1</w:t>
            </w:r>
          </w:p>
        </w:tc>
      </w:tr>
    </w:tbl>
    <w:p>
      <w:r>
        <w:rPr>
          <w:b w:val="0"/>
          <w:i/>
          <w:color w:val="52606D"/>
          <w:sz w:val="17"/>
        </w:rPr>
        <w:t>Where the assessed tier differs from the client's own, the client's tier is shown in brackets.</w:t>
      </w:r>
    </w:p>
    <w:p>
      <w:r>
        <w:br w:type="page"/>
      </w:r>
    </w:p>
    <w:p>
      <w:pPr>
        <w:pStyle w:val="Heading1"/>
      </w:pPr>
      <w:r>
        <w:t>5. Findings by area</w:t>
      </w:r>
    </w:p>
    <w:p>
      <w:pPr>
        <w:pStyle w:val="Heading2"/>
      </w:pPr>
      <w:r>
        <w:t>1. Accountability: 4.0 / 4 (Managed and tested)</w:t>
      </w:r>
    </w:p>
    <w:p>
      <w:pPr>
        <w:spacing w:after="40"/>
      </w:pPr>
      <w:r>
        <w:rPr>
          <w:b w:val="0"/>
          <w:i/>
          <w:color w:val="52606D"/>
          <w:sz w:val="18"/>
        </w:rPr>
        <w:t>Board-approved AI policy; a named owner for every use case. Reference: RBI FREE-AI rec. 14 (to verify against the RBI FREE-AI report text before client use).</w:t>
      </w:r>
    </w:p>
    <w:p>
      <w:pPr>
        <w:pStyle w:val="ListBullet"/>
        <w:spacing w:after="40"/>
      </w:pPr>
      <w:r>
        <w:rPr>
          <w:sz w:val="19"/>
        </w:rPr>
        <w:t>Named business owner: 12 of 12 fully meet it.</w:t>
      </w:r>
    </w:p>
    <w:p>
      <w:pPr>
        <w:pStyle w:val="ListBullet"/>
        <w:spacing w:after="40"/>
      </w:pPr>
      <w:r>
        <w:rPr>
          <w:sz w:val="19"/>
        </w:rPr>
        <w:t>Board-approved AI policy: 12 of 12 fully meet it.</w:t>
      </w:r>
    </w:p>
    <w:p>
      <w:pPr>
        <w:pStyle w:val="ListBullet"/>
        <w:spacing w:after="40"/>
      </w:pPr>
      <w:r>
        <w:rPr>
          <w:sz w:val="19"/>
        </w:rPr>
        <w:t>AI governance owner or committee: 0 of 12 fully meet it, 12 partly.</w:t>
      </w:r>
    </w:p>
    <w:p>
      <w:pPr>
        <w:spacing w:after="60"/>
      </w:pPr>
      <w:r>
        <w:rPr>
          <w:b w:val="0"/>
          <w:i w:val="0"/>
          <w:sz w:val="18"/>
        </w:rPr>
        <w:t>Use-case scores: AI-01 4, AI-02 4, AI-03 4, AI-04 4, AI-05 4, AI-06 4, AI-07 4, AI-08 4, AI-09 4, AI-10 4, AI-11 4, AI-12 4.</w:t>
      </w:r>
    </w:p>
    <w:p>
      <w:pPr>
        <w:pStyle w:val="Heading2"/>
      </w:pPr>
      <w:r>
        <w:t>2. AI inventory: 2.9 / 4 (Defined)</w:t>
      </w:r>
    </w:p>
    <w:p>
      <w:pPr>
        <w:spacing w:after="40"/>
      </w:pPr>
      <w:r>
        <w:rPr>
          <w:b w:val="0"/>
          <w:i/>
          <w:color w:val="52606D"/>
          <w:sz w:val="18"/>
        </w:rPr>
        <w:t>All AI use cases listed and risk-tiered. Reference: RBI FREE-AI rec. 23 (to verify against the RBI FREE-AI report text before client use).</w:t>
      </w:r>
    </w:p>
    <w:p>
      <w:pPr>
        <w:pStyle w:val="ListBullet"/>
        <w:spacing w:after="40"/>
      </w:pPr>
      <w:r>
        <w:rPr>
          <w:sz w:val="19"/>
        </w:rPr>
        <w:t>Register entry complete: 11 of 12 fully meet it, 1 partly.</w:t>
      </w:r>
    </w:p>
    <w:p>
      <w:pPr>
        <w:pStyle w:val="ListBullet"/>
        <w:spacing w:after="40"/>
      </w:pPr>
      <w:r>
        <w:rPr>
          <w:sz w:val="19"/>
        </w:rPr>
        <w:t>Risk tier recorded by the client: 0 of 12 fully meet it, 12 do not or are not evidenced (AI-01, AI-02, AI-03, AI-04, ...).</w:t>
      </w:r>
    </w:p>
    <w:p>
      <w:pPr>
        <w:pStyle w:val="ListBullet"/>
        <w:spacing w:after="40"/>
      </w:pPr>
      <w:r>
        <w:rPr>
          <w:sz w:val="19"/>
        </w:rPr>
        <w:t>Inventory reviewed regularly: 0 of 12 fully meet it, 12 partly.</w:t>
      </w:r>
    </w:p>
    <w:p>
      <w:pPr>
        <w:spacing w:after="60"/>
      </w:pPr>
      <w:r>
        <w:rPr>
          <w:b w:val="0"/>
          <w:i w:val="0"/>
          <w:sz w:val="18"/>
        </w:rPr>
        <w:t>Use-case scores: AI-01 3, AI-02 3, AI-03 3, AI-04 3, AI-05 2, AI-06 3, AI-07 3, AI-08 3, AI-09 3, AI-10 3, AI-11 3, AI-12 3.</w:t>
      </w:r>
    </w:p>
    <w:p>
      <w:pPr>
        <w:pStyle w:val="Heading2"/>
      </w:pPr>
      <w:r>
        <w:t>3. Data governance: 3.5 / 4 (Managed and tested)</w:t>
      </w:r>
    </w:p>
    <w:p>
      <w:pPr>
        <w:spacing w:after="40"/>
      </w:pPr>
      <w:r>
        <w:rPr>
          <w:b w:val="0"/>
          <w:i/>
          <w:color w:val="52606D"/>
          <w:sz w:val="18"/>
        </w:rPr>
        <w:t>Data use, retention, DPDP Act 2023 alignment. Reference: RBI FREE-AI rec. 15; DPDP Act 2023 (to verify against the RBI FREE-AI report text before client use).</w:t>
      </w:r>
    </w:p>
    <w:p>
      <w:pPr>
        <w:pStyle w:val="ListBullet"/>
        <w:spacing w:after="40"/>
      </w:pPr>
      <w:r>
        <w:rPr>
          <w:sz w:val="19"/>
        </w:rPr>
        <w:t>Data categories and personal/sensitive flags declared: 12 of 12 fully meet it.</w:t>
      </w:r>
    </w:p>
    <w:p>
      <w:pPr>
        <w:pStyle w:val="ListBullet"/>
        <w:spacing w:after="40"/>
      </w:pPr>
      <w:r>
        <w:rPr>
          <w:sz w:val="19"/>
        </w:rPr>
        <w:t>Lawful basis / consent documented (DPDP): 8 of 11 fully meet it, 2 partly, 1 do not or are not evidenced (AI-10).</w:t>
      </w:r>
    </w:p>
    <w:p>
      <w:pPr>
        <w:pStyle w:val="ListBullet"/>
        <w:spacing w:after="40"/>
      </w:pPr>
      <w:r>
        <w:rPr>
          <w:sz w:val="19"/>
        </w:rPr>
        <w:t>Retention defined: 5 of 11 fully meet it, 3 partly, 3 do not or are not evidenced (AI-04, AI-05, AI-10).</w:t>
      </w:r>
    </w:p>
    <w:p>
      <w:pPr>
        <w:pStyle w:val="ListBullet"/>
        <w:spacing w:after="40"/>
      </w:pPr>
      <w:r>
        <w:rPr>
          <w:sz w:val="19"/>
        </w:rPr>
        <w:t>Data location known and acceptable: 11 of 12 fully meet it, 1 do not or are not evidenced (AI-05).</w:t>
      </w:r>
    </w:p>
    <w:p>
      <w:pPr>
        <w:spacing w:after="60"/>
      </w:pPr>
      <w:r>
        <w:rPr>
          <w:b w:val="0"/>
          <w:i w:val="0"/>
          <w:sz w:val="18"/>
        </w:rPr>
        <w:t>Use-case scores: AI-01 4, AI-02 4, AI-03 4, AI-04 3, AI-05 2, AI-06 4, AI-07 4, AI-08 4, AI-09 4, AI-10 2, AI-11 4, AI-12 4.</w:t>
      </w:r>
    </w:p>
    <w:p>
      <w:pPr>
        <w:pStyle w:val="Heading2"/>
      </w:pPr>
      <w:r>
        <w:t>4. Lifecycle and evals: 2.7 / 4 (Defined)</w:t>
      </w:r>
    </w:p>
    <w:p>
      <w:pPr>
        <w:spacing w:after="40"/>
      </w:pPr>
      <w:r>
        <w:rPr>
          <w:b w:val="0"/>
          <w:i/>
          <w:color w:val="52606D"/>
          <w:sz w:val="18"/>
        </w:rPr>
        <w:t>Validation of models; evals used as a release gate. Reference: RBI FREE-AI rec. 16 (to verify against the RBI FREE-AI report text before client use).</w:t>
      </w:r>
    </w:p>
    <w:p>
      <w:pPr>
        <w:pStyle w:val="ListBullet"/>
        <w:spacing w:after="40"/>
      </w:pPr>
      <w:r>
        <w:rPr>
          <w:sz w:val="19"/>
        </w:rPr>
        <w:t>Validation is recent for the risk tier: 9 of 12 fully meet it, 2 partly, 1 do not or are not evidenced (AI-05).</w:t>
      </w:r>
    </w:p>
    <w:p>
      <w:pPr>
        <w:pStyle w:val="ListBullet"/>
        <w:spacing w:after="40"/>
      </w:pPr>
      <w:r>
        <w:rPr>
          <w:sz w:val="19"/>
        </w:rPr>
        <w:t>Evals are a release gate: 3 of 12 fully meet it, 6 partly, 3 do not or are not evidenced (AI-04, AI-05, AI-10).</w:t>
      </w:r>
    </w:p>
    <w:p>
      <w:pPr>
        <w:pStyle w:val="ListBullet"/>
        <w:spacing w:after="40"/>
      </w:pPr>
      <w:r>
        <w:rPr>
          <w:sz w:val="19"/>
        </w:rPr>
        <w:t>Bias / fairness testing for customer-affecting use: 0 of 8 fully meet it, 3 partly, 5 do not or are not evidenced (AI-02, AI-03, AI-04, AI-05, ...).</w:t>
      </w:r>
    </w:p>
    <w:p>
      <w:pPr>
        <w:spacing w:after="60"/>
      </w:pPr>
      <w:r>
        <w:rPr>
          <w:b w:val="0"/>
          <w:i w:val="0"/>
          <w:sz w:val="18"/>
        </w:rPr>
        <w:t>Use-case scores: AI-01 4, AI-02 2, AI-03 3, AI-04 1, AI-05 1, AI-06 4, AI-07 4, AI-08 3, AI-09 3, AI-10 2, AI-11 3, AI-12 3.</w:t>
      </w:r>
    </w:p>
    <w:p>
      <w:pPr>
        <w:pStyle w:val="Heading2"/>
      </w:pPr>
      <w:r>
        <w:t>5. AI security: 2.5 / 4 (Defined)</w:t>
      </w:r>
    </w:p>
    <w:p>
      <w:pPr>
        <w:spacing w:after="40"/>
      </w:pPr>
      <w:r>
        <w:rPr>
          <w:b w:val="0"/>
          <w:i/>
          <w:color w:val="52606D"/>
          <w:sz w:val="18"/>
        </w:rPr>
        <w:t>Prompt injection, least-privilege agents and tools, data-leak controls. Reference: OWASP GenAI Top 10; RBI FREE-AI recs. 19-20 (to verify against the RBI FREE-AI report text before client use).</w:t>
      </w:r>
    </w:p>
    <w:p>
      <w:pPr>
        <w:pStyle w:val="ListBullet"/>
        <w:spacing w:after="40"/>
      </w:pPr>
      <w:r>
        <w:rPr>
          <w:sz w:val="19"/>
        </w:rPr>
        <w:t>Adversarial / prompt-injection testing: 2 of 12 fully meet it, 6 partly, 4 do not or are not evidenced (AI-02, AI-04, AI-05, AI-10).</w:t>
      </w:r>
    </w:p>
    <w:p>
      <w:pPr>
        <w:pStyle w:val="ListBullet"/>
        <w:spacing w:after="40"/>
      </w:pPr>
      <w:r>
        <w:rPr>
          <w:sz w:val="19"/>
        </w:rPr>
        <w:t>Least-privilege access for tools, agents and credentials: 5 of 12 fully meet it, 6 partly, 1 do not or are not evidenced (AI-05).</w:t>
      </w:r>
    </w:p>
    <w:p>
      <w:pPr>
        <w:pStyle w:val="ListBullet"/>
        <w:spacing w:after="40"/>
      </w:pPr>
      <w:r>
        <w:rPr>
          <w:sz w:val="19"/>
        </w:rPr>
        <w:t>Output and data-leak controls: 5 of 12 fully meet it, 5 partly, 2 do not or are not evidenced (AI-05, AI-10).</w:t>
      </w:r>
    </w:p>
    <w:p>
      <w:pPr>
        <w:spacing w:after="60"/>
      </w:pPr>
      <w:r>
        <w:rPr>
          <w:b w:val="0"/>
          <w:i w:val="0"/>
          <w:sz w:val="18"/>
        </w:rPr>
        <w:t>Use-case scores: AI-01 3, AI-02 2, AI-03 3, AI-04 2, AI-05 1, AI-06 4, AI-07 4, AI-08 2, AI-09 2, AI-10 1, AI-11 3, AI-12 2.</w:t>
      </w:r>
    </w:p>
    <w:p>
      <w:pPr>
        <w:pStyle w:val="Heading2"/>
      </w:pPr>
      <w:r>
        <w:t>6. Human oversight: 3.2 / 4 (Defined)</w:t>
      </w:r>
    </w:p>
    <w:p>
      <w:pPr>
        <w:spacing w:after="40"/>
      </w:pPr>
      <w:r>
        <w:rPr>
          <w:b w:val="0"/>
          <w:i/>
          <w:color w:val="52606D"/>
          <w:sz w:val="18"/>
        </w:rPr>
        <w:t>Checkpoints matched to risk; explainability; recourse. Reference: RBI FREE-AI principles (Sutras) (to verify against the RBI FREE-AI report text before client use).</w:t>
      </w:r>
    </w:p>
    <w:p>
      <w:pPr>
        <w:pStyle w:val="ListBullet"/>
        <w:spacing w:after="40"/>
      </w:pPr>
      <w:r>
        <w:rPr>
          <w:sz w:val="19"/>
        </w:rPr>
        <w:t>Human checkpoint matches the risk: 10 of 12 fully meet it, 1 partly, 1 do not or are not evidenced (AI-04).</w:t>
      </w:r>
    </w:p>
    <w:p>
      <w:pPr>
        <w:pStyle w:val="ListBullet"/>
        <w:spacing w:after="40"/>
      </w:pPr>
      <w:r>
        <w:rPr>
          <w:sz w:val="19"/>
        </w:rPr>
        <w:t>Explainability for customer-affecting use: 2 of 8 fully meet it, 4 partly, 2 do not or are not evidenced (AI-04, AI-05).</w:t>
      </w:r>
    </w:p>
    <w:p>
      <w:pPr>
        <w:pStyle w:val="ListBullet"/>
        <w:spacing w:after="40"/>
      </w:pPr>
      <w:r>
        <w:rPr>
          <w:sz w:val="19"/>
        </w:rPr>
        <w:t>Customer recourse for automated decisions: 3 of 4 fully meet it, 1 partly.</w:t>
      </w:r>
    </w:p>
    <w:p>
      <w:pPr>
        <w:spacing w:after="60"/>
      </w:pPr>
      <w:r>
        <w:rPr>
          <w:b w:val="0"/>
          <w:i w:val="0"/>
          <w:sz w:val="18"/>
        </w:rPr>
        <w:t>Use-case scores: AI-01 4, AI-02 3, AI-03 3, AI-04 1, AI-05 3, AI-06 4, AI-07 4, AI-08 4, AI-09 4, AI-10 2, AI-11 3, AI-12 4.</w:t>
      </w:r>
    </w:p>
    <w:p>
      <w:pPr>
        <w:pStyle w:val="Heading2"/>
      </w:pPr>
      <w:r>
        <w:t>7. Vendor AI risk: 2.4 / 4 (Basic / ad hoc)</w:t>
      </w:r>
    </w:p>
    <w:p>
      <w:pPr>
        <w:spacing w:after="40"/>
      </w:pPr>
      <w:r>
        <w:rPr>
          <w:b w:val="0"/>
          <w:i/>
          <w:color w:val="52606D"/>
          <w:sz w:val="18"/>
        </w:rPr>
        <w:t>Model changes, data location, contractual limits, exit plan. Reference: OWASP GenAI supply chain risks (to verify against the RBI FREE-AI report text before client use).</w:t>
      </w:r>
    </w:p>
    <w:p>
      <w:pPr>
        <w:pStyle w:val="ListBullet"/>
        <w:spacing w:after="40"/>
      </w:pPr>
      <w:r>
        <w:rPr>
          <w:sz w:val="19"/>
        </w:rPr>
        <w:t>Model and vendor identified: 12 of 12 fully meet it.</w:t>
      </w:r>
    </w:p>
    <w:p>
      <w:pPr>
        <w:pStyle w:val="ListBullet"/>
        <w:spacing w:after="40"/>
      </w:pPr>
      <w:r>
        <w:rPr>
          <w:sz w:val="19"/>
        </w:rPr>
        <w:t>Model-change notice or version pinning: 2 of 9 fully meet it, 2 partly, 5 do not or are not evidenced (AI-02, AI-04, AI-05, AI-10, ...).</w:t>
      </w:r>
    </w:p>
    <w:p>
      <w:pPr>
        <w:pStyle w:val="ListBullet"/>
        <w:spacing w:after="40"/>
      </w:pPr>
      <w:r>
        <w:rPr>
          <w:sz w:val="19"/>
        </w:rPr>
        <w:t>Vendor exit plan: 0 of 9 fully meet it, 4 partly, 5 do not or are not evidenced (AI-02, AI-04, AI-05, AI-08, ...).</w:t>
      </w:r>
    </w:p>
    <w:p>
      <w:pPr>
        <w:pStyle w:val="ListBullet"/>
        <w:spacing w:after="40"/>
      </w:pPr>
      <w:r>
        <w:rPr>
          <w:sz w:val="19"/>
        </w:rPr>
        <w:t>Contractual limits on vendor data use: 5 of 9 fully meet it, 3 partly, 1 do not or are not evidenced (AI-05).</w:t>
      </w:r>
    </w:p>
    <w:p>
      <w:pPr>
        <w:spacing w:after="60"/>
      </w:pPr>
      <w:r>
        <w:rPr>
          <w:b w:val="0"/>
          <w:i w:val="0"/>
          <w:sz w:val="18"/>
        </w:rPr>
        <w:t>Use-case scores: AI-01 4, AI-02 1, AI-03 4, AI-04 1, AI-05 1, AI-06 3, AI-07 3, AI-08 2, AI-09 3, AI-10 1, AI-11 4, AI-12 2.</w:t>
      </w:r>
    </w:p>
    <w:p>
      <w:pPr>
        <w:pStyle w:val="Heading2"/>
      </w:pPr>
      <w:r>
        <w:t>8. Monitoring and audit: 2.9 / 4 (Defined)</w:t>
      </w:r>
    </w:p>
    <w:p>
      <w:pPr>
        <w:spacing w:after="40"/>
      </w:pPr>
      <w:r>
        <w:rPr>
          <w:b w:val="0"/>
          <w:i/>
          <w:color w:val="52606D"/>
          <w:sz w:val="18"/>
        </w:rPr>
        <w:t>Drift and performance monitoring, incidents, business continuity, risk-based audit. Reference: RBI FREE-AI recs. 21-24 (to verify against the RBI FREE-AI report text before client use).</w:t>
      </w:r>
    </w:p>
    <w:p>
      <w:pPr>
        <w:pStyle w:val="ListBullet"/>
        <w:spacing w:after="40"/>
      </w:pPr>
      <w:r>
        <w:rPr>
          <w:sz w:val="19"/>
        </w:rPr>
        <w:t>Monitoring in place: 3 of 12 fully meet it, 7 partly, 2 do not or are not evidenced (AI-05, AI-10).</w:t>
      </w:r>
    </w:p>
    <w:p>
      <w:pPr>
        <w:pStyle w:val="ListBullet"/>
        <w:spacing w:after="40"/>
      </w:pPr>
      <w:r>
        <w:rPr>
          <w:sz w:val="19"/>
        </w:rPr>
        <w:t>Incident handling and review: 10 of 12 fully meet it, 1 partly, 1 do not or are not evidenced (AI-05).</w:t>
      </w:r>
    </w:p>
    <w:p>
      <w:pPr>
        <w:pStyle w:val="ListBullet"/>
        <w:spacing w:after="40"/>
      </w:pPr>
      <w:r>
        <w:rPr>
          <w:sz w:val="19"/>
        </w:rPr>
        <w:t>Fallback / business continuity plan: 3 of 10 fully meet it, 4 partly, 3 do not or are not evidenced (AI-04, AI-05, AI-10).</w:t>
      </w:r>
    </w:p>
    <w:p>
      <w:pPr>
        <w:pStyle w:val="ListBullet"/>
        <w:spacing w:after="40"/>
      </w:pPr>
      <w:r>
        <w:rPr>
          <w:sz w:val="19"/>
        </w:rPr>
        <w:t>Risk-based audit cycle: 0 of 12 fully meet it, 12 partly.</w:t>
      </w:r>
    </w:p>
    <w:p>
      <w:pPr>
        <w:spacing w:after="60"/>
      </w:pPr>
      <w:r>
        <w:rPr>
          <w:b w:val="0"/>
          <w:i w:val="0"/>
          <w:sz w:val="18"/>
        </w:rPr>
        <w:t>Use-case scores: AI-01 4, AI-02 3, AI-03 3, AI-04 2, AI-05 1, AI-06 4, AI-07 4, AI-08 3, AI-09 3, AI-10 2, AI-11 3, AI-12 3.</w:t>
      </w:r>
    </w:p>
    <w:p>
      <w:r>
        <w:br w:type="page"/>
      </w:r>
    </w:p>
    <w:p>
      <w:pPr>
        <w:pStyle w:val="Heading1"/>
      </w:pPr>
      <w:r>
        <w:t>6. Top 10 gaps</w:t>
      </w:r>
    </w:p>
    <w:p>
      <w:r>
        <w:rPr>
          <w:b w:val="0"/>
          <w:i w:val="0"/>
          <w:sz w:val="19"/>
        </w:rPr>
        <w:t>Gaps that repeat across use cases are grouped into one theme and ranked by their combined severity score. All individual gaps, with owners and blank due dates, are in the Gaps sheet of the workbook.</w:t>
      </w:r>
    </w:p>
    <w:tbl>
      <w:tblPr>
        <w:tblStyle w:val="TableGrid"/>
        <w:tblW w:type="auto" w:w="0"/>
        <w:jc w:val="center"/>
        <w:tblLayout w:type="fixed"/>
        <w:tblLook w:firstColumn="1" w:firstRow="1" w:lastColumn="0" w:lastRow="0" w:noHBand="0" w:noVBand="1" w:val="04A0"/>
      </w:tblPr>
      <w:tblGrid>
        <w:gridCol w:w="510"/>
        <w:gridCol w:w="4195"/>
        <w:gridCol w:w="1814"/>
        <w:gridCol w:w="2381"/>
        <w:gridCol w:w="1077"/>
      </w:tblGrid>
      <w:tr>
        <w:trPr>
          <w:tblHeader w:val="true"/>
        </w:trPr>
        <w:tc>
          <w:tcPr>
            <w:tcW w:type="dxa" w:w="510"/>
            <w:shd w:val="clear" w:color="auto" w:fill="1F2933"/>
          </w:tcPr>
          <w:p>
            <w:pPr>
              <w:spacing w:after="20" w:before="20"/>
              <w:jc w:val="left"/>
            </w:pPr>
            <w:r/>
            <w:r>
              <w:rPr>
                <w:b/>
                <w:color w:val="FFFFFF"/>
                <w:sz w:val="18"/>
              </w:rPr>
              <w:t>#</w:t>
            </w:r>
          </w:p>
        </w:tc>
        <w:tc>
          <w:tcPr>
            <w:tcW w:type="dxa" w:w="4195"/>
            <w:shd w:val="clear" w:color="auto" w:fill="1F2933"/>
          </w:tcPr>
          <w:p>
            <w:pPr>
              <w:spacing w:after="20" w:before="20"/>
              <w:jc w:val="left"/>
            </w:pPr>
            <w:r/>
            <w:r>
              <w:rPr>
                <w:b/>
                <w:color w:val="FFFFFF"/>
                <w:sz w:val="18"/>
              </w:rPr>
              <w:t>Gap</w:t>
            </w:r>
          </w:p>
        </w:tc>
        <w:tc>
          <w:tcPr>
            <w:tcW w:type="dxa" w:w="1814"/>
            <w:shd w:val="clear" w:color="auto" w:fill="1F2933"/>
          </w:tcPr>
          <w:p>
            <w:pPr>
              <w:spacing w:after="20" w:before="20"/>
              <w:jc w:val="left"/>
            </w:pPr>
            <w:r/>
            <w:r>
              <w:rPr>
                <w:b/>
                <w:color w:val="FFFFFF"/>
                <w:sz w:val="18"/>
              </w:rPr>
              <w:t>Area</w:t>
            </w:r>
          </w:p>
        </w:tc>
        <w:tc>
          <w:tcPr>
            <w:tcW w:type="dxa" w:w="2381"/>
            <w:shd w:val="clear" w:color="auto" w:fill="1F2933"/>
          </w:tcPr>
          <w:p>
            <w:pPr>
              <w:spacing w:after="20" w:before="20"/>
              <w:jc w:val="left"/>
            </w:pPr>
            <w:r/>
            <w:r>
              <w:rPr>
                <w:b/>
                <w:color w:val="FFFFFF"/>
                <w:sz w:val="18"/>
              </w:rPr>
              <w:t>Use cases</w:t>
            </w:r>
          </w:p>
        </w:tc>
        <w:tc>
          <w:tcPr>
            <w:tcW w:type="dxa" w:w="1077"/>
            <w:shd w:val="clear" w:color="auto" w:fill="1F2933"/>
          </w:tcPr>
          <w:p>
            <w:pPr>
              <w:spacing w:after="20" w:before="20"/>
              <w:jc w:val="left"/>
            </w:pPr>
            <w:r/>
            <w:r>
              <w:rPr>
                <w:b/>
                <w:color w:val="FFFFFF"/>
                <w:sz w:val="18"/>
              </w:rPr>
              <w:t>Severity</w:t>
            </w:r>
          </w:p>
        </w:tc>
      </w:tr>
      <w:tr>
        <w:trPr>
          <w:cantSplit w:val="true"/>
        </w:trPr>
        <w:tc>
          <w:tcPr>
            <w:tcW w:type="dxa" w:w="510"/>
          </w:tcPr>
          <w:p>
            <w:pPr>
              <w:spacing w:after="20" w:before="20"/>
              <w:jc w:val="center"/>
            </w:pPr>
            <w:r/>
            <w:r>
              <w:rPr>
                <w:b w:val="0"/>
                <w:sz w:val="18"/>
              </w:rPr>
              <w:t>1</w:t>
            </w:r>
          </w:p>
        </w:tc>
        <w:tc>
          <w:tcPr>
            <w:tcW w:type="dxa" w:w="4195"/>
          </w:tcPr>
          <w:p>
            <w:pPr>
              <w:spacing w:after="20" w:before="20"/>
              <w:jc w:val="left"/>
            </w:pPr>
            <w:r/>
            <w:r>
              <w:rPr>
                <w:b w:val="0"/>
                <w:sz w:val="18"/>
              </w:rPr>
              <w:t>No exit plan or fallback for the AI vendor</w:t>
            </w:r>
          </w:p>
        </w:tc>
        <w:tc>
          <w:tcPr>
            <w:tcW w:type="dxa" w:w="1814"/>
          </w:tcPr>
          <w:p>
            <w:pPr>
              <w:spacing w:after="20" w:before="20"/>
              <w:jc w:val="left"/>
            </w:pPr>
            <w:r/>
            <w:r>
              <w:rPr>
                <w:b w:val="0"/>
                <w:sz w:val="18"/>
              </w:rPr>
              <w:t>Vendor AI risk</w:t>
            </w:r>
          </w:p>
        </w:tc>
        <w:tc>
          <w:tcPr>
            <w:tcW w:type="dxa" w:w="2381"/>
          </w:tcPr>
          <w:p>
            <w:pPr>
              <w:spacing w:after="20" w:before="20"/>
              <w:jc w:val="left"/>
            </w:pPr>
            <w:r/>
            <w:r>
              <w:rPr>
                <w:b w:val="0"/>
                <w:sz w:val="18"/>
              </w:rPr>
              <w:t>9: AI-02, AI-04, AI-05, AI-06 +5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2</w:t>
            </w:r>
          </w:p>
        </w:tc>
        <w:tc>
          <w:tcPr>
            <w:tcW w:type="dxa" w:w="4195"/>
          </w:tcPr>
          <w:p>
            <w:pPr>
              <w:spacing w:after="20" w:before="20"/>
              <w:jc w:val="left"/>
            </w:pPr>
            <w:r/>
            <w:r>
              <w:rPr>
                <w:b w:val="0"/>
                <w:sz w:val="18"/>
              </w:rPr>
              <w:t>No regular adversarial or prompt-injection testing</w:t>
            </w:r>
          </w:p>
        </w:tc>
        <w:tc>
          <w:tcPr>
            <w:tcW w:type="dxa" w:w="1814"/>
          </w:tcPr>
          <w:p>
            <w:pPr>
              <w:spacing w:after="20" w:before="20"/>
              <w:jc w:val="left"/>
            </w:pPr>
            <w:r/>
            <w:r>
              <w:rPr>
                <w:b w:val="0"/>
                <w:sz w:val="18"/>
              </w:rPr>
              <w:t>AI security</w:t>
            </w:r>
          </w:p>
        </w:tc>
        <w:tc>
          <w:tcPr>
            <w:tcW w:type="dxa" w:w="2381"/>
          </w:tcPr>
          <w:p>
            <w:pPr>
              <w:spacing w:after="20" w:before="20"/>
              <w:jc w:val="left"/>
            </w:pPr>
            <w:r/>
            <w:r>
              <w:rPr>
                <w:b w:val="0"/>
                <w:sz w:val="18"/>
              </w:rPr>
              <w:t>10: AI-01, AI-02, AI-03, AI-04 +6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3</w:t>
            </w:r>
          </w:p>
        </w:tc>
        <w:tc>
          <w:tcPr>
            <w:tcW w:type="dxa" w:w="4195"/>
          </w:tcPr>
          <w:p>
            <w:pPr>
              <w:spacing w:after="20" w:before="20"/>
              <w:jc w:val="left"/>
            </w:pPr>
            <w:r/>
            <w:r>
              <w:rPr>
                <w:b w:val="0"/>
                <w:sz w:val="18"/>
              </w:rPr>
              <w:t>No evaluation set used as a release gate</w:t>
            </w:r>
          </w:p>
        </w:tc>
        <w:tc>
          <w:tcPr>
            <w:tcW w:type="dxa" w:w="1814"/>
          </w:tcPr>
          <w:p>
            <w:pPr>
              <w:spacing w:after="20" w:before="20"/>
              <w:jc w:val="left"/>
            </w:pPr>
            <w:r/>
            <w:r>
              <w:rPr>
                <w:b w:val="0"/>
                <w:sz w:val="18"/>
              </w:rPr>
              <w:t>Lifecycle and evals</w:t>
            </w:r>
          </w:p>
        </w:tc>
        <w:tc>
          <w:tcPr>
            <w:tcW w:type="dxa" w:w="2381"/>
          </w:tcPr>
          <w:p>
            <w:pPr>
              <w:spacing w:after="20" w:before="20"/>
              <w:jc w:val="left"/>
            </w:pPr>
            <w:r/>
            <w:r>
              <w:rPr>
                <w:b w:val="0"/>
                <w:sz w:val="18"/>
              </w:rPr>
              <w:t>9: AI-02, AI-03, AI-04, AI-05 +5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4</w:t>
            </w:r>
          </w:p>
        </w:tc>
        <w:tc>
          <w:tcPr>
            <w:tcW w:type="dxa" w:w="4195"/>
          </w:tcPr>
          <w:p>
            <w:pPr>
              <w:spacing w:after="20" w:before="20"/>
              <w:jc w:val="left"/>
            </w:pPr>
            <w:r/>
            <w:r>
              <w:rPr>
                <w:b w:val="0"/>
                <w:sz w:val="18"/>
              </w:rPr>
              <w:t>No notice of vendor model changes and no version pinning</w:t>
            </w:r>
          </w:p>
        </w:tc>
        <w:tc>
          <w:tcPr>
            <w:tcW w:type="dxa" w:w="1814"/>
          </w:tcPr>
          <w:p>
            <w:pPr>
              <w:spacing w:after="20" w:before="20"/>
              <w:jc w:val="left"/>
            </w:pPr>
            <w:r/>
            <w:r>
              <w:rPr>
                <w:b w:val="0"/>
                <w:sz w:val="18"/>
              </w:rPr>
              <w:t>Vendor AI risk</w:t>
            </w:r>
          </w:p>
        </w:tc>
        <w:tc>
          <w:tcPr>
            <w:tcW w:type="dxa" w:w="2381"/>
          </w:tcPr>
          <w:p>
            <w:pPr>
              <w:spacing w:after="20" w:before="20"/>
              <w:jc w:val="left"/>
            </w:pPr>
            <w:r/>
            <w:r>
              <w:rPr>
                <w:b w:val="0"/>
                <w:sz w:val="18"/>
              </w:rPr>
              <w:t>7: AI-02, AI-04, AI-05, AI-08 +3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5</w:t>
            </w:r>
          </w:p>
        </w:tc>
        <w:tc>
          <w:tcPr>
            <w:tcW w:type="dxa" w:w="4195"/>
          </w:tcPr>
          <w:p>
            <w:pPr>
              <w:spacing w:after="20" w:before="20"/>
              <w:jc w:val="left"/>
            </w:pPr>
            <w:r/>
            <w:r>
              <w:rPr>
                <w:b w:val="0"/>
                <w:sz w:val="18"/>
              </w:rPr>
              <w:t>No continuous performance and drift monitoring</w:t>
            </w:r>
          </w:p>
        </w:tc>
        <w:tc>
          <w:tcPr>
            <w:tcW w:type="dxa" w:w="1814"/>
          </w:tcPr>
          <w:p>
            <w:pPr>
              <w:spacing w:after="20" w:before="20"/>
              <w:jc w:val="left"/>
            </w:pPr>
            <w:r/>
            <w:r>
              <w:rPr>
                <w:b w:val="0"/>
                <w:sz w:val="18"/>
              </w:rPr>
              <w:t>Monitoring and audit</w:t>
            </w:r>
          </w:p>
        </w:tc>
        <w:tc>
          <w:tcPr>
            <w:tcW w:type="dxa" w:w="2381"/>
          </w:tcPr>
          <w:p>
            <w:pPr>
              <w:spacing w:after="20" w:before="20"/>
              <w:jc w:val="left"/>
            </w:pPr>
            <w:r/>
            <w:r>
              <w:rPr>
                <w:b w:val="0"/>
                <w:sz w:val="18"/>
              </w:rPr>
              <w:t>9: AI-02, AI-03, AI-04, AI-05 +5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6</w:t>
            </w:r>
          </w:p>
        </w:tc>
        <w:tc>
          <w:tcPr>
            <w:tcW w:type="dxa" w:w="4195"/>
          </w:tcPr>
          <w:p>
            <w:pPr>
              <w:spacing w:after="20" w:before="20"/>
              <w:jc w:val="left"/>
            </w:pPr>
            <w:r/>
            <w:r>
              <w:rPr>
                <w:b w:val="0"/>
                <w:sz w:val="18"/>
              </w:rPr>
              <w:t>No bias or fairness testing for a customer-affecting use case</w:t>
            </w:r>
          </w:p>
        </w:tc>
        <w:tc>
          <w:tcPr>
            <w:tcW w:type="dxa" w:w="1814"/>
          </w:tcPr>
          <w:p>
            <w:pPr>
              <w:spacing w:after="20" w:before="20"/>
              <w:jc w:val="left"/>
            </w:pPr>
            <w:r/>
            <w:r>
              <w:rPr>
                <w:b w:val="0"/>
                <w:sz w:val="18"/>
              </w:rPr>
              <w:t>Lifecycle and evals</w:t>
            </w:r>
          </w:p>
        </w:tc>
        <w:tc>
          <w:tcPr>
            <w:tcW w:type="dxa" w:w="2381"/>
          </w:tcPr>
          <w:p>
            <w:pPr>
              <w:spacing w:after="20" w:before="20"/>
              <w:jc w:val="left"/>
            </w:pPr>
            <w:r/>
            <w:r>
              <w:rPr>
                <w:b w:val="0"/>
                <w:sz w:val="18"/>
              </w:rPr>
              <w:t>8: AI-01, AI-02, AI-03, AI-04 +4 more</w:t>
            </w:r>
          </w:p>
        </w:tc>
        <w:tc>
          <w:tcPr>
            <w:tcW w:type="dxa" w:w="1077"/>
            <w:shd w:val="clear" w:color="auto" w:fill="E6A23C"/>
          </w:tcPr>
          <w:p>
            <w:pPr>
              <w:spacing w:after="20" w:before="20"/>
              <w:jc w:val="left"/>
            </w:pPr>
            <w:r/>
            <w:r>
              <w:rPr>
                <w:b/>
                <w:color w:val="1A1A1A"/>
                <w:sz w:val="18"/>
              </w:rPr>
              <w:t>Medium</w:t>
            </w:r>
          </w:p>
        </w:tc>
      </w:tr>
      <w:tr>
        <w:trPr>
          <w:cantSplit w:val="true"/>
        </w:trPr>
        <w:tc>
          <w:tcPr>
            <w:tcW w:type="dxa" w:w="510"/>
          </w:tcPr>
          <w:p>
            <w:pPr>
              <w:spacing w:after="20" w:before="20"/>
              <w:jc w:val="center"/>
            </w:pPr>
            <w:r/>
            <w:r>
              <w:rPr>
                <w:b w:val="0"/>
                <w:sz w:val="18"/>
              </w:rPr>
              <w:t>7</w:t>
            </w:r>
          </w:p>
        </w:tc>
        <w:tc>
          <w:tcPr>
            <w:tcW w:type="dxa" w:w="4195"/>
          </w:tcPr>
          <w:p>
            <w:pPr>
              <w:spacing w:after="20" w:before="20"/>
              <w:jc w:val="left"/>
            </w:pPr>
            <w:r/>
            <w:r>
              <w:rPr>
                <w:b w:val="0"/>
                <w:sz w:val="18"/>
              </w:rPr>
              <w:t>No risk tier recorded in the client's own register</w:t>
            </w:r>
          </w:p>
        </w:tc>
        <w:tc>
          <w:tcPr>
            <w:tcW w:type="dxa" w:w="1814"/>
          </w:tcPr>
          <w:p>
            <w:pPr>
              <w:spacing w:after="20" w:before="20"/>
              <w:jc w:val="left"/>
            </w:pPr>
            <w:r/>
            <w:r>
              <w:rPr>
                <w:b w:val="0"/>
                <w:sz w:val="18"/>
              </w:rPr>
              <w:t>AI inventory</w:t>
            </w:r>
          </w:p>
        </w:tc>
        <w:tc>
          <w:tcPr>
            <w:tcW w:type="dxa" w:w="2381"/>
          </w:tcPr>
          <w:p>
            <w:pPr>
              <w:spacing w:after="20" w:before="20"/>
              <w:jc w:val="left"/>
            </w:pPr>
            <w:r/>
            <w:r>
              <w:rPr>
                <w:b w:val="0"/>
                <w:sz w:val="18"/>
              </w:rPr>
              <w:t>12: AI-01, AI-02, AI-03, AI-04 +8 more</w:t>
            </w:r>
          </w:p>
        </w:tc>
        <w:tc>
          <w:tcPr>
            <w:tcW w:type="dxa" w:w="1077"/>
            <w:shd w:val="clear" w:color="auto" w:fill="E6A23C"/>
          </w:tcPr>
          <w:p>
            <w:pPr>
              <w:spacing w:after="20" w:before="20"/>
              <w:jc w:val="left"/>
            </w:pPr>
            <w:r/>
            <w:r>
              <w:rPr>
                <w:b/>
                <w:color w:val="1A1A1A"/>
                <w:sz w:val="18"/>
              </w:rPr>
              <w:t>Medium</w:t>
            </w:r>
          </w:p>
        </w:tc>
      </w:tr>
      <w:tr>
        <w:trPr>
          <w:cantSplit w:val="true"/>
        </w:trPr>
        <w:tc>
          <w:tcPr>
            <w:tcW w:type="dxa" w:w="510"/>
          </w:tcPr>
          <w:p>
            <w:pPr>
              <w:spacing w:after="20" w:before="20"/>
              <w:jc w:val="center"/>
            </w:pPr>
            <w:r/>
            <w:r>
              <w:rPr>
                <w:b w:val="0"/>
                <w:sz w:val="18"/>
              </w:rPr>
              <w:t>8</w:t>
            </w:r>
          </w:p>
        </w:tc>
        <w:tc>
          <w:tcPr>
            <w:tcW w:type="dxa" w:w="4195"/>
          </w:tcPr>
          <w:p>
            <w:pPr>
              <w:spacing w:after="20" w:before="20"/>
              <w:jc w:val="left"/>
            </w:pPr>
            <w:r/>
            <w:r>
              <w:rPr>
                <w:b w:val="0"/>
                <w:sz w:val="18"/>
              </w:rPr>
              <w:t>Tools, agents or credentials are not least-privilege</w:t>
            </w:r>
          </w:p>
        </w:tc>
        <w:tc>
          <w:tcPr>
            <w:tcW w:type="dxa" w:w="1814"/>
          </w:tcPr>
          <w:p>
            <w:pPr>
              <w:spacing w:after="20" w:before="20"/>
              <w:jc w:val="left"/>
            </w:pPr>
            <w:r/>
            <w:r>
              <w:rPr>
                <w:b w:val="0"/>
                <w:sz w:val="18"/>
              </w:rPr>
              <w:t>AI security</w:t>
            </w:r>
          </w:p>
        </w:tc>
        <w:tc>
          <w:tcPr>
            <w:tcW w:type="dxa" w:w="2381"/>
          </w:tcPr>
          <w:p>
            <w:pPr>
              <w:spacing w:after="20" w:before="20"/>
              <w:jc w:val="left"/>
            </w:pPr>
            <w:r/>
            <w:r>
              <w:rPr>
                <w:b w:val="0"/>
                <w:sz w:val="18"/>
              </w:rPr>
              <w:t>7: AI-02, AI-04, AI-05, AI-08 +3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9</w:t>
            </w:r>
          </w:p>
        </w:tc>
        <w:tc>
          <w:tcPr>
            <w:tcW w:type="dxa" w:w="4195"/>
          </w:tcPr>
          <w:p>
            <w:pPr>
              <w:spacing w:after="20" w:before="20"/>
              <w:jc w:val="left"/>
            </w:pPr>
            <w:r/>
            <w:r>
              <w:rPr>
                <w:b w:val="0"/>
                <w:sz w:val="18"/>
              </w:rPr>
              <w:t>No fallback or business-continuity plan if the AI system fails</w:t>
            </w:r>
          </w:p>
        </w:tc>
        <w:tc>
          <w:tcPr>
            <w:tcW w:type="dxa" w:w="1814"/>
          </w:tcPr>
          <w:p>
            <w:pPr>
              <w:spacing w:after="20" w:before="20"/>
              <w:jc w:val="left"/>
            </w:pPr>
            <w:r/>
            <w:r>
              <w:rPr>
                <w:b w:val="0"/>
                <w:sz w:val="18"/>
              </w:rPr>
              <w:t>Monitoring and audit</w:t>
            </w:r>
          </w:p>
        </w:tc>
        <w:tc>
          <w:tcPr>
            <w:tcW w:type="dxa" w:w="2381"/>
          </w:tcPr>
          <w:p>
            <w:pPr>
              <w:spacing w:after="20" w:before="20"/>
              <w:jc w:val="left"/>
            </w:pPr>
            <w:r/>
            <w:r>
              <w:rPr>
                <w:b w:val="0"/>
                <w:sz w:val="18"/>
              </w:rPr>
              <w:t>7: AI-02, AI-03, AI-04, AI-05 +3 more</w:t>
            </w:r>
          </w:p>
        </w:tc>
        <w:tc>
          <w:tcPr>
            <w:tcW w:type="dxa" w:w="1077"/>
            <w:shd w:val="clear" w:color="auto" w:fill="E6A23C"/>
          </w:tcPr>
          <w:p>
            <w:pPr>
              <w:spacing w:after="20" w:before="20"/>
              <w:jc w:val="left"/>
            </w:pPr>
            <w:r/>
            <w:r>
              <w:rPr>
                <w:b/>
                <w:color w:val="1A1A1A"/>
                <w:sz w:val="18"/>
              </w:rPr>
              <w:t>Medium</w:t>
            </w:r>
          </w:p>
        </w:tc>
      </w:tr>
      <w:tr>
        <w:trPr>
          <w:cantSplit w:val="true"/>
        </w:trPr>
        <w:tc>
          <w:tcPr>
            <w:tcW w:type="dxa" w:w="510"/>
          </w:tcPr>
          <w:p>
            <w:pPr>
              <w:spacing w:after="20" w:before="20"/>
              <w:jc w:val="center"/>
            </w:pPr>
            <w:r/>
            <w:r>
              <w:rPr>
                <w:b w:val="0"/>
                <w:sz w:val="18"/>
              </w:rPr>
              <w:t>10</w:t>
            </w:r>
          </w:p>
        </w:tc>
        <w:tc>
          <w:tcPr>
            <w:tcW w:type="dxa" w:w="4195"/>
          </w:tcPr>
          <w:p>
            <w:pPr>
              <w:spacing w:after="20" w:before="20"/>
              <w:jc w:val="left"/>
            </w:pPr>
            <w:r/>
            <w:r>
              <w:rPr>
                <w:b w:val="0"/>
                <w:sz w:val="18"/>
              </w:rPr>
              <w:t>Retention and deletion period for personal data is not defined</w:t>
            </w:r>
          </w:p>
        </w:tc>
        <w:tc>
          <w:tcPr>
            <w:tcW w:type="dxa" w:w="1814"/>
          </w:tcPr>
          <w:p>
            <w:pPr>
              <w:spacing w:after="20" w:before="20"/>
              <w:jc w:val="left"/>
            </w:pPr>
            <w:r/>
            <w:r>
              <w:rPr>
                <w:b w:val="0"/>
                <w:sz w:val="18"/>
              </w:rPr>
              <w:t>Data governance</w:t>
            </w:r>
          </w:p>
        </w:tc>
        <w:tc>
          <w:tcPr>
            <w:tcW w:type="dxa" w:w="2381"/>
          </w:tcPr>
          <w:p>
            <w:pPr>
              <w:spacing w:after="20" w:before="20"/>
              <w:jc w:val="left"/>
            </w:pPr>
            <w:r/>
            <w:r>
              <w:rPr>
                <w:b w:val="0"/>
                <w:sz w:val="18"/>
              </w:rPr>
              <w:t>6: AI-02, AI-04, AI-05, AI-08 +2 more</w:t>
            </w:r>
          </w:p>
        </w:tc>
        <w:tc>
          <w:tcPr>
            <w:tcW w:type="dxa" w:w="1077"/>
            <w:shd w:val="clear" w:color="auto" w:fill="E6A23C"/>
          </w:tcPr>
          <w:p>
            <w:pPr>
              <w:spacing w:after="20" w:before="20"/>
              <w:jc w:val="left"/>
            </w:pPr>
            <w:r/>
            <w:r>
              <w:rPr>
                <w:b/>
                <w:color w:val="1A1A1A"/>
                <w:sz w:val="18"/>
              </w:rPr>
              <w:t>Medium</w:t>
            </w:r>
          </w:p>
        </w:tc>
      </w:tr>
    </w:tbl>
    <w:p>
      <w:pPr>
        <w:pStyle w:val="Heading1"/>
      </w:pPr>
      <w:r>
        <w:t>7. 90-day plan</w:t>
      </w:r>
    </w:p>
    <w:p>
      <w:r>
        <w:rPr>
          <w:b w:val="0"/>
          <w:i w:val="0"/>
          <w:sz w:val="19"/>
        </w:rPr>
        <w:t>Actions are phased by severity: High-severity themes in the first 30 days, Medium in days 31-60, Low in days 61-90. Owners are suggestions for the client to confirm. Effort: S = days, M = weeks, L = a month or more.</w:t>
      </w:r>
    </w:p>
    <w:tbl>
      <w:tblPr>
        <w:tblStyle w:val="TableGrid"/>
        <w:tblW w:type="auto" w:w="0"/>
        <w:jc w:val="center"/>
        <w:tblLayout w:type="fixed"/>
        <w:tblLook w:firstColumn="1" w:firstRow="1" w:lastColumn="0" w:lastRow="0" w:noHBand="0" w:noVBand="1" w:val="04A0"/>
      </w:tblPr>
      <w:tblGrid>
        <w:gridCol w:w="1191"/>
        <w:gridCol w:w="5329"/>
        <w:gridCol w:w="2494"/>
        <w:gridCol w:w="737"/>
      </w:tblGrid>
      <w:tr>
        <w:trPr>
          <w:tblHeader w:val="true"/>
        </w:trPr>
        <w:tc>
          <w:tcPr>
            <w:tcW w:type="dxa" w:w="1191"/>
            <w:shd w:val="clear" w:color="auto" w:fill="1F2933"/>
          </w:tcPr>
          <w:p>
            <w:pPr>
              <w:spacing w:after="20" w:before="20"/>
              <w:jc w:val="left"/>
            </w:pPr>
            <w:r/>
            <w:r>
              <w:rPr>
                <w:b/>
                <w:color w:val="FFFFFF"/>
                <w:sz w:val="17"/>
              </w:rPr>
              <w:t>Phase</w:t>
            </w:r>
          </w:p>
        </w:tc>
        <w:tc>
          <w:tcPr>
            <w:tcW w:type="dxa" w:w="5329"/>
            <w:shd w:val="clear" w:color="auto" w:fill="1F2933"/>
          </w:tcPr>
          <w:p>
            <w:pPr>
              <w:spacing w:after="20" w:before="20"/>
              <w:jc w:val="left"/>
            </w:pPr>
            <w:r/>
            <w:r>
              <w:rPr>
                <w:b/>
                <w:color w:val="FFFFFF"/>
                <w:sz w:val="17"/>
              </w:rPr>
              <w:t>Action</w:t>
            </w:r>
          </w:p>
        </w:tc>
        <w:tc>
          <w:tcPr>
            <w:tcW w:type="dxa" w:w="2494"/>
            <w:shd w:val="clear" w:color="auto" w:fill="1F2933"/>
          </w:tcPr>
          <w:p>
            <w:pPr>
              <w:spacing w:after="20" w:before="20"/>
              <w:jc w:val="left"/>
            </w:pPr>
            <w:r/>
            <w:r>
              <w:rPr>
                <w:b/>
                <w:color w:val="FFFFFF"/>
                <w:sz w:val="17"/>
              </w:rPr>
              <w:t>Suggested owner</w:t>
            </w:r>
          </w:p>
        </w:tc>
        <w:tc>
          <w:tcPr>
            <w:tcW w:type="dxa" w:w="737"/>
            <w:shd w:val="clear" w:color="auto" w:fill="1F2933"/>
          </w:tcPr>
          <w:p>
            <w:pPr>
              <w:spacing w:after="20" w:before="20"/>
              <w:jc w:val="left"/>
            </w:pPr>
            <w:r/>
            <w:r>
              <w:rPr>
                <w:b/>
                <w:color w:val="FFFFFF"/>
                <w:sz w:val="17"/>
              </w:rPr>
              <w:t>Effort</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Write an exit plan for each critical AI vendor (data return, alternative provider, tested fallback)</w:t>
            </w:r>
          </w:p>
        </w:tc>
        <w:tc>
          <w:tcPr>
            <w:tcW w:type="dxa" w:w="2494"/>
          </w:tcPr>
          <w:p>
            <w:pPr>
              <w:spacing w:after="20" w:before="20"/>
              <w:jc w:val="left"/>
            </w:pPr>
            <w:r/>
            <w:r>
              <w:rPr>
                <w:b w:val="0"/>
                <w:sz w:val="17"/>
              </w:rPr>
              <w:t>Lakshmi Bhat (Demo); Anita Gowda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Add prompt-injection and abuse test cases (OWASP GenAI Top 10) to the test suite and run them each release</w:t>
            </w:r>
          </w:p>
        </w:tc>
        <w:tc>
          <w:tcPr>
            <w:tcW w:type="dxa" w:w="2494"/>
          </w:tcPr>
          <w:p>
            <w:pPr>
              <w:spacing w:after="20" w:before="20"/>
              <w:jc w:val="left"/>
            </w:pPr>
            <w:r/>
            <w:r>
              <w:rPr>
                <w:b w:val="0"/>
                <w:sz w:val="17"/>
              </w:rPr>
              <w:t>Lakshmi Bhat (Demo); Anita Gowda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Build a held-out evaluation set per use case and block releases and model changes that fail it</w:t>
            </w:r>
          </w:p>
        </w:tc>
        <w:tc>
          <w:tcPr>
            <w:tcW w:type="dxa" w:w="2494"/>
          </w:tcPr>
          <w:p>
            <w:pPr>
              <w:spacing w:after="20" w:before="20"/>
              <w:jc w:val="left"/>
            </w:pPr>
            <w:r/>
            <w:r>
              <w:rPr>
                <w:b w:val="0"/>
                <w:sz w:val="17"/>
              </w:rPr>
              <w:t>Anita Gowda (Demo); Gita Menon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Pin model versions and obtain contractual notice of model changes; re-run evals before accepting a change</w:t>
            </w:r>
          </w:p>
        </w:tc>
        <w:tc>
          <w:tcPr>
            <w:tcW w:type="dxa" w:w="2494"/>
          </w:tcPr>
          <w:p>
            <w:pPr>
              <w:spacing w:after="20" w:before="20"/>
              <w:jc w:val="left"/>
            </w:pPr>
            <w:r/>
            <w:r>
              <w:rPr>
                <w:b w:val="0"/>
                <w:sz w:val="17"/>
              </w:rPr>
              <w:t>Lakshmi Bhat (Demo); Anita Gowda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Set up monitoring for quality, drift, cost and misuse with alert thresholds and a named responder</w:t>
            </w:r>
          </w:p>
        </w:tc>
        <w:tc>
          <w:tcPr>
            <w:tcW w:type="dxa" w:w="2494"/>
          </w:tcPr>
          <w:p>
            <w:pPr>
              <w:spacing w:after="20" w:before="20"/>
              <w:jc w:val="left"/>
            </w:pPr>
            <w:r/>
            <w:r>
              <w:rPr>
                <w:b w:val="0"/>
                <w:sz w:val="17"/>
              </w:rPr>
              <w:t>Anita Gowda (Demo); Gita Menon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Review the permissions of every tool, agent and API credential; remove write and admin rights that are not needed</w:t>
            </w:r>
          </w:p>
        </w:tc>
        <w:tc>
          <w:tcPr>
            <w:tcW w:type="dxa" w:w="2494"/>
          </w:tcPr>
          <w:p>
            <w:pPr>
              <w:spacing w:after="20" w:before="20"/>
              <w:jc w:val="left"/>
            </w:pPr>
            <w:r/>
            <w:r>
              <w:rPr>
                <w:b w:val="0"/>
                <w:sz w:val="17"/>
              </w:rPr>
              <w:t>Anita Gowda (Demo); Lakshmi Bhat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Run and document an independent validation for each overdue use case, highest tier first</w:t>
            </w:r>
          </w:p>
        </w:tc>
        <w:tc>
          <w:tcPr>
            <w:tcW w:type="dxa" w:w="2494"/>
          </w:tcPr>
          <w:p>
            <w:pPr>
              <w:spacing w:after="20" w:before="20"/>
              <w:jc w:val="left"/>
            </w:pPr>
            <w:r/>
            <w:r>
              <w:rPr>
                <w:b w:val="0"/>
                <w:sz w:val="17"/>
              </w:rPr>
              <w:t>Anita Gowda (Demo); Lakshmi Bhat (Demo)</w:t>
            </w:r>
          </w:p>
        </w:tc>
        <w:tc>
          <w:tcPr>
            <w:tcW w:type="dxa" w:w="737"/>
          </w:tcPr>
          <w:p>
            <w:pPr>
              <w:spacing w:after="20" w:before="20"/>
              <w:jc w:val="center"/>
            </w:pPr>
            <w:r/>
            <w:r>
              <w:rPr>
                <w:b w:val="0"/>
                <w:sz w:val="17"/>
              </w:rPr>
              <w:t>L</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Add a human review step (or a documented override path) to automated decisions in the High and Medium tiers</w:t>
            </w:r>
          </w:p>
        </w:tc>
        <w:tc>
          <w:tcPr>
            <w:tcW w:type="dxa" w:w="2494"/>
          </w:tcPr>
          <w:p>
            <w:pPr>
              <w:spacing w:after="20" w:before="20"/>
              <w:jc w:val="left"/>
            </w:pPr>
            <w:r/>
            <w:r>
              <w:rPr>
                <w:b w:val="0"/>
                <w:sz w:val="17"/>
              </w:rPr>
              <w:t>Anita Gowda (Demo); Gita Menon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Test outcomes across relevant customer segments and document the results and thresholds</w:t>
            </w:r>
          </w:p>
        </w:tc>
        <w:tc>
          <w:tcPr>
            <w:tcW w:type="dxa" w:w="2494"/>
          </w:tcPr>
          <w:p>
            <w:pPr>
              <w:spacing w:after="20" w:before="20"/>
              <w:jc w:val="left"/>
            </w:pPr>
            <w:r/>
            <w:r>
              <w:rPr>
                <w:b w:val="0"/>
                <w:sz w:val="17"/>
              </w:rPr>
              <w:t>Lakshmi Bhat (Demo); Anita Gowda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Adopt the agreed risk-tiering rules and record the tier in the register for every use case</w:t>
            </w:r>
          </w:p>
        </w:tc>
        <w:tc>
          <w:tcPr>
            <w:tcW w:type="dxa" w:w="2494"/>
          </w:tcPr>
          <w:p>
            <w:pPr>
              <w:spacing w:after="20" w:before="20"/>
              <w:jc w:val="left"/>
            </w:pPr>
            <w:r/>
            <w:r>
              <w:rPr>
                <w:b w:val="0"/>
                <w:sz w:val="17"/>
              </w:rPr>
              <w:t>Pradeep Hegde (Demo); Lakshmi Bhat (Demo)</w:t>
            </w:r>
          </w:p>
        </w:tc>
        <w:tc>
          <w:tcPr>
            <w:tcW w:type="dxa" w:w="737"/>
          </w:tcPr>
          <w:p>
            <w:pPr>
              <w:spacing w:after="20" w:before="20"/>
              <w:jc w:val="center"/>
            </w:pPr>
            <w:r/>
            <w:r>
              <w:rPr>
                <w:b w:val="0"/>
                <w:sz w:val="17"/>
              </w:rPr>
              <w:t>S</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Document a manual fallback and recovery steps for each important use case and test it</w:t>
            </w:r>
          </w:p>
        </w:tc>
        <w:tc>
          <w:tcPr>
            <w:tcW w:type="dxa" w:w="2494"/>
          </w:tcPr>
          <w:p>
            <w:pPr>
              <w:spacing w:after="20" w:before="20"/>
              <w:jc w:val="left"/>
            </w:pPr>
            <w:r/>
            <w:r>
              <w:rPr>
                <w:b w:val="0"/>
                <w:sz w:val="17"/>
              </w:rPr>
              <w:t>Anita Gowda (Demo); Gita Menon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Define retention and deletion rules (including prompts, logs and vendor-side copies) for each use case</w:t>
            </w:r>
          </w:p>
        </w:tc>
        <w:tc>
          <w:tcPr>
            <w:tcW w:type="dxa" w:w="2494"/>
          </w:tcPr>
          <w:p>
            <w:pPr>
              <w:spacing w:after="20" w:before="20"/>
              <w:jc w:val="left"/>
            </w:pPr>
            <w:r/>
            <w:r>
              <w:rPr>
                <w:b w:val="0"/>
                <w:sz w:val="17"/>
              </w:rPr>
              <w:t>Anita Gowda (Demo); Gita Menon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Provide a plain-language reason for each customer-affecting output and store it with the decision</w:t>
            </w:r>
          </w:p>
        </w:tc>
        <w:tc>
          <w:tcPr>
            <w:tcW w:type="dxa" w:w="2494"/>
          </w:tcPr>
          <w:p>
            <w:pPr>
              <w:spacing w:after="20" w:before="20"/>
              <w:jc w:val="left"/>
            </w:pPr>
            <w:r/>
            <w:r>
              <w:rPr>
                <w:b w:val="0"/>
                <w:sz w:val="17"/>
              </w:rPr>
              <w:t>Anita Gowda (Demo); Lakshmi Bhat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Add output filtering and data-loss controls (masking of personal data in prompts, logs and responses)</w:t>
            </w:r>
          </w:p>
        </w:tc>
        <w:tc>
          <w:tcPr>
            <w:tcW w:type="dxa" w:w="2494"/>
          </w:tcPr>
          <w:p>
            <w:pPr>
              <w:spacing w:after="20" w:before="20"/>
              <w:jc w:val="left"/>
            </w:pPr>
            <w:r/>
            <w:r>
              <w:rPr>
                <w:b w:val="0"/>
                <w:sz w:val="17"/>
              </w:rPr>
              <w:t>Anita Gowda (Demo); Gita Menon (Demo)</w:t>
            </w:r>
          </w:p>
        </w:tc>
        <w:tc>
          <w:tcPr>
            <w:tcW w:type="dxa" w:w="737"/>
          </w:tcPr>
          <w:p>
            <w:pPr>
              <w:spacing w:after="20" w:before="20"/>
              <w:jc w:val="center"/>
            </w:pPr>
            <w:r/>
            <w:r>
              <w:rPr>
                <w:b w:val="0"/>
                <w:sz w:val="17"/>
              </w:rPr>
              <w:t>M</w:t>
            </w:r>
          </w:p>
        </w:tc>
      </w:tr>
    </w:tbl>
    <w:p>
      <w:r>
        <w:rPr>
          <w:b w:val="0"/>
          <w:i/>
          <w:color w:val="52606D"/>
          <w:sz w:val="17"/>
        </w:rPr>
        <w:t>9 further lower-priority actions are listed in the 90-day plan sheet.</w:t>
      </w:r>
    </w:p>
    <w:p>
      <w:pPr>
        <w:pStyle w:val="Heading1"/>
      </w:pPr>
      <w:r>
        <w:t>8. Limits of this report and disclaimer</w:t>
      </w:r>
    </w:p>
    <w:p>
      <w:r>
        <w:rPr>
          <w:b w:val="0"/>
          <w:i w:val="0"/>
          <w:sz w:val="19"/>
        </w:rPr>
        <w:t>This document is readiness advice based on the AI use-case register and control answers supplied by the organisation. It is not a formal audit, certification or assurance opinion, and nothing in it was independently tested or verified. Formal cyber-security audits must be performed by CERT-In empanelled auditors. Regulatory references are working mappings and are to be verified against the source text before client use.</w:t>
      </w:r>
    </w:p>
    <w:p>
      <w:pPr>
        <w:spacing w:after="40"/>
      </w:pPr>
      <w:r>
        <w:rPr>
          <w:b/>
          <w:i w:val="0"/>
          <w:sz w:val="19"/>
        </w:rPr>
        <w:t>Assumptions used in scoring:</w:t>
      </w:r>
    </w:p>
    <w:p>
      <w:pPr>
        <w:pStyle w:val="ListBullet"/>
        <w:spacing w:after="40"/>
      </w:pPr>
      <w:r>
        <w:rPr>
          <w:sz w:val="17"/>
        </w:rPr>
        <w:t>Assessment date used for ages and deadlines: 2026-10-29.</w:t>
      </w:r>
    </w:p>
    <w:p>
      <w:pPr>
        <w:pStyle w:val="ListBullet"/>
        <w:spacing w:after="40"/>
      </w:pPr>
      <w:r>
        <w:rPr>
          <w:sz w:val="17"/>
        </w:rPr>
        <w:t>Scores are computed only from the register and the control answers supplied. Nothing was tested, observed or independently verified; every answer is taken as the client stated it.</w:t>
      </w:r>
    </w:p>
    <w:p>
      <w:pPr>
        <w:pStyle w:val="ListBullet"/>
        <w:spacing w:after="40"/>
      </w:pPr>
      <w:r>
        <w:rPr>
          <w:sz w:val="17"/>
        </w:rPr>
        <w:t>A control answer left blank is scored as 'not evidenced' (zero points), not as 'no'.</w:t>
      </w:r>
    </w:p>
    <w:p>
      <w:pPr>
        <w:pStyle w:val="ListBullet"/>
        <w:spacing w:after="40"/>
      </w:pPr>
      <w:r>
        <w:rPr>
          <w:sz w:val="17"/>
        </w:rPr>
        <w:t>Check not applicable to a use case (for example retention for a use case with no personal data) is left out of that use case's score.</w:t>
      </w:r>
    </w:p>
    <w:p>
      <w:pPr>
        <w:pStyle w:val="ListBullet"/>
        <w:spacing w:after="40"/>
      </w:pPr>
      <w:r>
        <w:rPr>
          <w:sz w:val="17"/>
        </w:rPr>
        <w:t>Score bands on the share of applicable weighted points earned: 1 below 25%, 2 from 25%, 3 from 55%, 4 from 85%.</w:t>
      </w:r>
    </w:p>
    <w:p>
      <w:pPr>
        <w:pStyle w:val="ListBullet"/>
        <w:spacing w:after="40"/>
      </w:pPr>
      <w:r>
        <w:rPr>
          <w:sz w:val="17"/>
        </w:rPr>
        <w:t>Validation age limits by tier (months): {'High': 6, 'Medium': 12, 'Low': 18}; up to twice the limit scores 'partial'.</w:t>
      </w:r>
    </w:p>
    <w:p>
      <w:pPr>
        <w:pStyle w:val="ListBullet"/>
        <w:spacing w:after="40"/>
      </w:pPr>
      <w:r>
        <w:rPr>
          <w:sz w:val="17"/>
        </w:rPr>
        <w:t>Monitoring answered 'yes' or 'basic' is scored 'partial' (no evidence of drift monitoring); only 'continuous' scores full.</w:t>
      </w:r>
    </w:p>
    <w:p>
      <w:pPr>
        <w:pStyle w:val="ListBullet"/>
        <w:spacing w:after="40"/>
      </w:pPr>
      <w:r>
        <w:rPr>
          <w:sz w:val="17"/>
        </w:rPr>
        <w:t>Area scores across use cases are tier-weighted means (High x3, Medium x2, Low x1); the overall score is the plain mean of the eight area scores.</w:t>
      </w:r>
    </w:p>
    <w:p>
      <w:r>
        <w:rPr>
          <w:b w:val="0"/>
          <w:i/>
          <w:color w:val="52606D"/>
          <w:sz w:val="17"/>
        </w:rPr>
        <w:t>The full list of assumptions is in the Assumptions sheet of the workbook.</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Hemavati Finance Ltd (Demo): AI readiness report (readiness advice, not a formal audit)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eastAsia="Calibri"/>
      <w:b/>
      <w:bCs/>
      <w:color w:val="1F293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eastAsia="Calibri"/>
      <w:b/>
      <w:bCs/>
      <w:color w:val="1F2933"/>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Calibri"/>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