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Board summary: AI readiness</w:t>
      </w:r>
    </w:p>
    <w:p>
      <w:pPr>
        <w:spacing w:after="120"/>
      </w:pPr>
      <w:r>
        <w:rPr>
          <w:b w:val="0"/>
          <w:i w:val="0"/>
          <w:color w:val="52606D"/>
          <w:sz w:val="20"/>
        </w:rPr>
        <w:t>Nimbus Pay (Demo) Pvt Ltd  |  29 October 2026</w:t>
      </w:r>
    </w:p>
    <w:p>
      <w:pPr>
        <w:spacing w:after="80"/>
      </w:pPr>
      <w:r>
        <w:rPr>
          <w:b/>
          <w:i w:val="0"/>
          <w:sz w:val="24"/>
        </w:rPr>
        <w:t>Overall AI readiness is 2.6 out of 4 (defined). The strongest area is data governance (3.5); the weakest is accountability (2.0).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2608"/>
        <w:gridCol w:w="2154"/>
        <w:gridCol w:w="1928"/>
      </w:tblGrid>
      <w:tr>
        <w:trPr>
          <w:tblHeader w:val="true"/>
        </w:trPr>
        <w:tc>
          <w:tcPr>
            <w:tcW w:type="dxa" w:w="1474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20"/>
              </w:rPr>
              <w:t>Overall</w:t>
            </w:r>
          </w:p>
        </w:tc>
        <w:tc>
          <w:tcPr>
            <w:tcW w:type="dxa" w:w="1587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20"/>
              </w:rPr>
              <w:t>AI use cases</w:t>
            </w:r>
          </w:p>
        </w:tc>
        <w:tc>
          <w:tcPr>
            <w:tcW w:type="dxa" w:w="2608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20"/>
              </w:rPr>
              <w:t>High / Medium / Low risk</w:t>
            </w:r>
          </w:p>
        </w:tc>
        <w:tc>
          <w:tcPr>
            <w:tcW w:type="dxa" w:w="2154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20"/>
              </w:rPr>
              <w:t>Gaps found (High)</w:t>
            </w:r>
          </w:p>
        </w:tc>
        <w:tc>
          <w:tcPr>
            <w:tcW w:type="dxa" w:w="1928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20"/>
              </w:rPr>
              <w:t>90-day actions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0"/>
              </w:rPr>
              <w:t>2.6 / 4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0"/>
              </w:rPr>
              <w:t>5 / 0 / 3</w:t>
            </w:r>
          </w:p>
        </w:tc>
        <w:tc>
          <w:tcPr>
            <w:tcW w:type="dxa" w:w="215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0"/>
              </w:rPr>
              <w:t>78 (14)</w:t>
            </w:r>
          </w:p>
        </w:tc>
        <w:tc>
          <w:tcPr>
            <w:tcW w:type="dxa" w:w="192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0"/>
              </w:rPr>
              <w:t>24</w:t>
            </w:r>
          </w:p>
        </w:tc>
      </w:tr>
    </w:tbl>
    <w:p>
      <w:pPr>
        <w:pStyle w:val="Heading2"/>
      </w:pPr>
      <w:r>
        <w:t>Readiness by area (1 = not evidenced, 4 = managed and tested)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907"/>
        <w:gridCol w:w="2154"/>
        <w:gridCol w:w="4195"/>
      </w:tblGrid>
      <w:tr>
        <w:trPr>
          <w:tblHeader w:val="true"/>
        </w:trPr>
        <w:tc>
          <w:tcPr>
            <w:tcW w:type="dxa" w:w="2494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907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2154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195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Where it is weak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Accountability</w:t>
            </w:r>
          </w:p>
        </w:tc>
        <w:tc>
          <w:tcPr>
            <w:tcW w:type="dxa" w:w="907"/>
            <w:shd w:val="clear" w:color="auto" w:fill="9FC3E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1A1A1A"/>
                <w:sz w:val="18"/>
              </w:rPr>
              <w:t>2.0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Basic / ad hoc</w:t>
            </w:r>
          </w:p>
        </w:tc>
        <w:tc>
          <w:tcPr>
            <w:tcW w:type="dxa" w:w="419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8 of 8 use cases score 1 or 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AI inventory</w:t>
            </w:r>
          </w:p>
        </w:tc>
        <w:tc>
          <w:tcPr>
            <w:tcW w:type="dxa" w:w="907"/>
            <w:shd w:val="clear" w:color="auto" w:fill="2E75B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2.8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Defined</w:t>
            </w:r>
          </w:p>
        </w:tc>
        <w:tc>
          <w:tcPr>
            <w:tcW w:type="dxa" w:w="419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1 of 8 use cases score 1 or 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Data governance</w:t>
            </w:r>
          </w:p>
        </w:tc>
        <w:tc>
          <w:tcPr>
            <w:tcW w:type="dxa" w:w="907"/>
            <w:shd w:val="clear" w:color="auto" w:fill="174A80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3.5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Managed and tested</w:t>
            </w:r>
          </w:p>
        </w:tc>
        <w:tc>
          <w:tcPr>
            <w:tcW w:type="dxa" w:w="419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1 of 8 use cases score 1 or 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Lifecycle and evals</w:t>
            </w:r>
          </w:p>
        </w:tc>
        <w:tc>
          <w:tcPr>
            <w:tcW w:type="dxa" w:w="907"/>
            <w:shd w:val="clear" w:color="auto" w:fill="9FC3E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1A1A1A"/>
                <w:sz w:val="18"/>
              </w:rPr>
              <w:t>2.3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Basic / ad hoc</w:t>
            </w:r>
          </w:p>
        </w:tc>
        <w:tc>
          <w:tcPr>
            <w:tcW w:type="dxa" w:w="419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5 of 8 use cases score 1 or 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AI security</w:t>
            </w:r>
          </w:p>
        </w:tc>
        <w:tc>
          <w:tcPr>
            <w:tcW w:type="dxa" w:w="907"/>
            <w:shd w:val="clear" w:color="auto" w:fill="2E75B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2.5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Defined</w:t>
            </w:r>
          </w:p>
        </w:tc>
        <w:tc>
          <w:tcPr>
            <w:tcW w:type="dxa" w:w="419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5 of 8 use cases score 1 or 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Human oversight</w:t>
            </w:r>
          </w:p>
        </w:tc>
        <w:tc>
          <w:tcPr>
            <w:tcW w:type="dxa" w:w="907"/>
            <w:shd w:val="clear" w:color="auto" w:fill="2E75B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2.8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Defined</w:t>
            </w:r>
          </w:p>
        </w:tc>
        <w:tc>
          <w:tcPr>
            <w:tcW w:type="dxa" w:w="419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2 of 8 use cases score 1 or 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Vendor AI risk</w:t>
            </w:r>
          </w:p>
        </w:tc>
        <w:tc>
          <w:tcPr>
            <w:tcW w:type="dxa" w:w="907"/>
            <w:shd w:val="clear" w:color="auto" w:fill="9FC3E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1A1A1A"/>
                <w:sz w:val="18"/>
              </w:rPr>
              <w:t>2.2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Basic / ad hoc</w:t>
            </w:r>
          </w:p>
        </w:tc>
        <w:tc>
          <w:tcPr>
            <w:tcW w:type="dxa" w:w="419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5 of 8 use cases score 1 or 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Monitoring and audit</w:t>
            </w:r>
          </w:p>
        </w:tc>
        <w:tc>
          <w:tcPr>
            <w:tcW w:type="dxa" w:w="907"/>
            <w:shd w:val="clear" w:color="auto" w:fill="9FC3E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1A1A1A"/>
                <w:sz w:val="18"/>
              </w:rPr>
              <w:t>2.3</w:t>
            </w:r>
          </w:p>
        </w:tc>
        <w:tc>
          <w:tcPr>
            <w:tcW w:type="dxa" w:w="215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Basic / ad hoc</w:t>
            </w:r>
          </w:p>
        </w:tc>
        <w:tc>
          <w:tcPr>
            <w:tcW w:type="dxa" w:w="4195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5 of 8 use cases score 1 or 2</w:t>
            </w:r>
          </w:p>
        </w:tc>
      </w:tr>
    </w:tbl>
    <w:p>
      <w:pPr>
        <w:pStyle w:val="Heading2"/>
      </w:pPr>
      <w:r>
        <w:t>What the board needs to know</w:t>
      </w:r>
    </w:p>
    <w:p>
      <w:pPr>
        <w:pStyle w:val="ListBullet"/>
        <w:spacing w:after="40"/>
      </w:pPr>
      <w:r>
        <w:t>We reviewed 8 AI use cases at Nimbus Pay (Demo) Pvt Ltd (120 staff). Under the agreed tiering rules 5 are High risk, 0 Medium and 3 Low.</w:t>
      </w:r>
    </w:p>
    <w:p>
      <w:pPr>
        <w:pStyle w:val="ListBullet"/>
        <w:spacing w:after="40"/>
      </w:pPr>
      <w:r>
        <w:t>We found 78 gaps across 24 themes; 14 are rated High. The three themes with the largest combined weight are: no exit plan or fallback for the AI vendor (6 use cases); no regular adversarial or prompt-injection testing (7 use cases); no notice of vendor model changes and no version pinning (6 use cases).</w:t>
      </w:r>
    </w:p>
    <w:p>
      <w:pPr>
        <w:pStyle w:val="ListBullet"/>
        <w:spacing w:after="40"/>
      </w:pPr>
      <w:r>
        <w:t>High-risk use cases with the lowest average scores, to look at first: UC-03 Customer support chatbot (1.6); UC-05 Collections reminder voice bot (2.0); UC-01 KYC document extraction (2.9).</w:t>
      </w:r>
    </w:p>
    <w:p>
      <w:r>
        <w:br w:type="page"/>
      </w:r>
    </w:p>
    <w:p>
      <w:pPr>
        <w:pStyle w:val="Heading2"/>
      </w:pPr>
      <w:r>
        <w:t>Top 5 gaps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896"/>
        <w:gridCol w:w="2041"/>
        <w:gridCol w:w="1304"/>
      </w:tblGrid>
      <w:tr>
        <w:trPr>
          <w:tblHeader w:val="true"/>
        </w:trPr>
        <w:tc>
          <w:tcPr>
            <w:tcW w:type="dxa" w:w="510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896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041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type="dxa" w:w="1304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No exit plan or fallback for the AI vendor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6 use cases</w:t>
            </w:r>
          </w:p>
        </w:tc>
        <w:tc>
          <w:tcPr>
            <w:tcW w:type="dxa" w:w="1304"/>
            <w:shd w:val="clear" w:color="auto" w:fill="C0392B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No regular adversarial or prompt-injection testing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7 use cases</w:t>
            </w:r>
          </w:p>
        </w:tc>
        <w:tc>
          <w:tcPr>
            <w:tcW w:type="dxa" w:w="1304"/>
            <w:shd w:val="clear" w:color="auto" w:fill="C0392B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No notice of vendor model changes and no version pinning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6 use cases</w:t>
            </w:r>
          </w:p>
        </w:tc>
        <w:tc>
          <w:tcPr>
            <w:tcW w:type="dxa" w:w="1304"/>
            <w:shd w:val="clear" w:color="auto" w:fill="C0392B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No evaluation set used as a release gate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6 use cases</w:t>
            </w:r>
          </w:p>
        </w:tc>
        <w:tc>
          <w:tcPr>
            <w:tcW w:type="dxa" w:w="1304"/>
            <w:shd w:val="clear" w:color="auto" w:fill="C0392B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896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No bias or fairness testing for a customer-affecting use case</w:t>
            </w:r>
          </w:p>
        </w:tc>
        <w:tc>
          <w:tcPr>
            <w:tcW w:type="dxa" w:w="204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5 use cases</w:t>
            </w:r>
          </w:p>
        </w:tc>
        <w:tc>
          <w:tcPr>
            <w:tcW w:type="dxa" w:w="1304"/>
            <w:shd w:val="clear" w:color="auto" w:fill="E6A23C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1A1A1A"/>
                <w:sz w:val="18"/>
              </w:rPr>
              <w:t>Medium</w:t>
            </w:r>
          </w:p>
        </w:tc>
      </w:tr>
    </w:tbl>
    <w:p>
      <w:pPr>
        <w:pStyle w:val="Heading2"/>
      </w:pPr>
      <w:r>
        <w:t>Decisions we ask the board to take</w:t>
      </w:r>
    </w:p>
    <w:p>
      <w:pPr>
        <w:pStyle w:val="ListBullet"/>
        <w:spacing w:after="40"/>
      </w:pPr>
      <w:r>
        <w:t>Approve a board-level AI policy (scope, risk appetite, roles, approvals).</w:t>
      </w:r>
    </w:p>
    <w:p>
      <w:pPr>
        <w:pStyle w:val="ListBullet"/>
        <w:spacing w:after="40"/>
      </w:pPr>
      <w:r>
        <w:t>Name an accountable AI governance lead and set up a monthly AI risk forum.</w:t>
      </w:r>
    </w:p>
    <w:p>
      <w:pPr>
        <w:pStyle w:val="ListBullet"/>
        <w:spacing w:after="40"/>
      </w:pPr>
      <w:r>
        <w:t>Fund independent validation, evaluation sets and security testing for the High-risk use cases first.</w:t>
      </w:r>
    </w:p>
    <w:p>
      <w:pPr>
        <w:pStyle w:val="ListBullet"/>
        <w:spacing w:after="40"/>
      </w:pPr>
      <w:r>
        <w:t>Require a human checkpoint on automated High- and Medium-risk decisions until controls are in place.</w:t>
      </w:r>
    </w:p>
    <w:p>
      <w:pPr>
        <w:pStyle w:val="ListBullet"/>
        <w:spacing w:after="40"/>
      </w:pPr>
      <w:r>
        <w:t>Ask management to renegotiate AI vendor terms: model-change notice, data-use limits and an exit plan.</w:t>
      </w:r>
    </w:p>
    <w:p>
      <w:pPr>
        <w:pStyle w:val="Heading2"/>
      </w:pPr>
      <w:r>
        <w:t>90-day plan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391"/>
      </w:tblGrid>
      <w:tr>
        <w:trPr>
          <w:tblHeader w:val="true"/>
        </w:trPr>
        <w:tc>
          <w:tcPr>
            <w:tcW w:type="dxa" w:w="1361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8391"/>
            <w:shd w:val="clear" w:color="auto" w:fill="1F2933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8"/>
              </w:rPr>
              <w:t>Main actions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Days 0-30</w:t>
            </w:r>
          </w:p>
        </w:tc>
        <w:tc>
          <w:tcPr>
            <w:tcW w:type="dxa" w:w="839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- Write an exit plan for each critical AI vendor (data return, alternative provider, tested fallback)</w:t>
              <w:br/>
              <w:t>- Add prompt-injection and abuse test cases (OWASP GenAI Top 10) to the test suite and run them each release</w:t>
              <w:br/>
              <w:t>- Pin model versions and obtain contractual notice of model changes; re-run evals before accepting a change</w:t>
              <w:br/>
              <w:t>(+5 more)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Days 31-60</w:t>
            </w:r>
          </w:p>
        </w:tc>
        <w:tc>
          <w:tcPr>
            <w:tcW w:type="dxa" w:w="839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- Test outcomes across relevant customer segments and document the results and thresholds</w:t>
              <w:br/>
              <w:t>- Provide a plain-language reason for each customer-affecting output and store it with the decision</w:t>
              <w:br/>
              <w:t>- Add output filtering and data-loss controls (masking of personal data in prompts, logs and responses)</w:t>
              <w:br/>
              <w:t>(+13 more)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Days 61-90</w:t>
            </w:r>
          </w:p>
        </w:tc>
        <w:tc>
          <w:tcPr>
            <w:tcW w:type="dxa" w:w="8391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8"/>
              </w:rPr>
              <w:t>No actions in this phase</w:t>
            </w:r>
          </w:p>
        </w:tc>
      </w:tr>
    </w:tbl>
    <w:p>
      <w:pPr>
        <w:pStyle w:val="Heading2"/>
      </w:pPr>
      <w:r>
        <w:t>If nothing changes</w:t>
      </w:r>
    </w:p>
    <w:p>
      <w:pPr>
        <w:pStyle w:val="ListBullet"/>
        <w:spacing w:after="40"/>
      </w:pPr>
      <w:r>
        <w:t>5 High-risk use cases keep running with the gaps above, which is the position a supervisor or auditor would test first.</w:t>
      </w:r>
    </w:p>
    <w:p>
      <w:pPr>
        <w:pStyle w:val="ListBullet"/>
        <w:spacing w:after="40"/>
      </w:pPr>
      <w:r>
        <w:t>Gaps that repeat across many use cases (vendor terms, testing, monitoring) become more expensive to fix as more use cases are added.</w:t>
      </w:r>
    </w:p>
    <w:p>
      <w:pPr>
        <w:spacing w:after="40"/>
      </w:pPr>
      <w:r>
        <w:rPr>
          <w:b w:val="0"/>
          <w:i w:val="0"/>
        </w:rPr>
      </w:r>
    </w:p>
    <w:p>
      <w:r>
        <w:rPr>
          <w:b w:val="0"/>
          <w:i/>
          <w:color w:val="52606D"/>
          <w:sz w:val="17"/>
        </w:rPr>
        <w:t>This document is readiness advice based on the AI use-case register and control answers supplied by the organisation. It is not a formal audit, certification or assurance opinion, and nothing in it was independently tested or verified. Formal cyber-security audits must be performed by CERT-In empanelled auditors. Regulatory references are working mappings and are to be verified against the source text before client use.</w:t>
      </w:r>
    </w:p>
    <w:sectPr w:rsidR="00FC693F" w:rsidRPr="0006063C" w:rsidSect="00034616">
      <w:footerReference w:type="default" r:id="rId9"/>
      <w:pgSz w:w="11906" w:h="16838"/>
      <w:pgMar w:top="1020" w:right="1020" w:bottom="918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6"/>
      </w:rPr>
      <w:t xml:space="preserve">Nimbus Pay (Demo) Pvt Ltd: board summary (readiness advice, not a formal audit)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