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2F7" w:rsidRDefault="00176019" w:rsidP="0038521A">
      <w:pPr>
        <w:pStyle w:val="ListParagraph"/>
        <w:numPr>
          <w:ilvl w:val="0"/>
          <w:numId w:val="1"/>
        </w:numPr>
      </w:pPr>
      <w:r>
        <w:t>Ratios help in understanding the operating and financial performance of the firm</w:t>
      </w:r>
      <w:r w:rsidR="0038521A">
        <w:t>. Four major categories of ratios are:</w:t>
      </w:r>
    </w:p>
    <w:p w:rsidR="0038521A" w:rsidRDefault="0038521A" w:rsidP="0038521A">
      <w:pPr>
        <w:pStyle w:val="ListParagraph"/>
      </w:pPr>
      <w:r>
        <w:t xml:space="preserve">1. Activity ratios </w:t>
      </w:r>
    </w:p>
    <w:p w:rsidR="0038521A" w:rsidRDefault="0038521A" w:rsidP="0038521A">
      <w:pPr>
        <w:pStyle w:val="ListParagraph"/>
      </w:pPr>
      <w:r>
        <w:t xml:space="preserve">2. Liquidity ratios </w:t>
      </w:r>
    </w:p>
    <w:p w:rsidR="0038521A" w:rsidRDefault="0038521A" w:rsidP="0038521A">
      <w:pPr>
        <w:pStyle w:val="ListParagraph"/>
      </w:pPr>
      <w:r>
        <w:t xml:space="preserve">3. Solvency ratios </w:t>
      </w:r>
    </w:p>
    <w:p w:rsidR="00CA6CBE" w:rsidRDefault="0038521A" w:rsidP="0038521A">
      <w:pPr>
        <w:pStyle w:val="ListParagraph"/>
      </w:pPr>
      <w:r>
        <w:t>4. Profitability ratios</w:t>
      </w:r>
    </w:p>
    <w:p w:rsidR="00CA6CBE" w:rsidRDefault="00CA6CBE" w:rsidP="00CA6CBE">
      <w:pPr>
        <w:pStyle w:val="ListParagraph"/>
        <w:ind w:hanging="294"/>
      </w:pPr>
      <w:r>
        <w:t xml:space="preserve">B. Current Ratio (2017) = </w:t>
      </w:r>
      <w:proofErr w:type="gramStart"/>
      <w:r>
        <w:t>2.5775 ;</w:t>
      </w:r>
      <w:proofErr w:type="gramEnd"/>
      <w:r>
        <w:t xml:space="preserve"> Quick Ratio(2017)= 0.9267</w:t>
      </w:r>
    </w:p>
    <w:p w:rsidR="00CA6CBE" w:rsidRDefault="00CA6CBE" w:rsidP="00CA6CBE">
      <w:pPr>
        <w:pStyle w:val="ListParagraph"/>
        <w:ind w:hanging="294"/>
      </w:pPr>
      <w:r>
        <w:t xml:space="preserve">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26"/>
        <w:gridCol w:w="2127"/>
        <w:gridCol w:w="2127"/>
      </w:tblGrid>
      <w:tr w:rsidR="00CA6CBE" w:rsidTr="00176019">
        <w:trPr>
          <w:trHeight w:val="314"/>
        </w:trPr>
        <w:tc>
          <w:tcPr>
            <w:tcW w:w="2134" w:type="dxa"/>
          </w:tcPr>
          <w:p w:rsidR="00CA6CBE" w:rsidRDefault="00CA6CBE" w:rsidP="00CA6CBE">
            <w:pPr>
              <w:pStyle w:val="ListParagraph"/>
              <w:ind w:left="0"/>
            </w:pPr>
          </w:p>
        </w:tc>
        <w:tc>
          <w:tcPr>
            <w:tcW w:w="2126" w:type="dxa"/>
          </w:tcPr>
          <w:p w:rsidR="00CA6CBE" w:rsidRDefault="00CA6CBE" w:rsidP="00CA6CBE">
            <w:pPr>
              <w:pStyle w:val="ListParagraph"/>
              <w:ind w:left="0"/>
            </w:pPr>
            <w:r>
              <w:t>2015</w:t>
            </w:r>
          </w:p>
        </w:tc>
        <w:tc>
          <w:tcPr>
            <w:tcW w:w="2127" w:type="dxa"/>
          </w:tcPr>
          <w:p w:rsidR="00CA6CBE" w:rsidRDefault="00CA6CBE" w:rsidP="00CA6CBE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2127" w:type="dxa"/>
          </w:tcPr>
          <w:p w:rsidR="00CA6CBE" w:rsidRDefault="00CA6CBE" w:rsidP="00CA6CBE">
            <w:pPr>
              <w:pStyle w:val="ListParagraph"/>
              <w:ind w:left="0"/>
            </w:pPr>
            <w:r>
              <w:t>2017</w:t>
            </w:r>
          </w:p>
        </w:tc>
      </w:tr>
      <w:tr w:rsidR="00CA6CBE" w:rsidTr="00176019">
        <w:trPr>
          <w:trHeight w:val="300"/>
        </w:trPr>
        <w:tc>
          <w:tcPr>
            <w:tcW w:w="2134" w:type="dxa"/>
          </w:tcPr>
          <w:p w:rsidR="00CA6CBE" w:rsidRDefault="00CA6CBE" w:rsidP="00CA6CBE">
            <w:pPr>
              <w:pStyle w:val="ListParagraph"/>
              <w:ind w:left="0"/>
            </w:pPr>
            <w:r>
              <w:t>Current ratio</w:t>
            </w:r>
          </w:p>
        </w:tc>
        <w:tc>
          <w:tcPr>
            <w:tcW w:w="2126" w:type="dxa"/>
          </w:tcPr>
          <w:p w:rsidR="00CA6CBE" w:rsidRDefault="00CA6CBE" w:rsidP="00CA6CBE">
            <w:pPr>
              <w:pStyle w:val="ListParagraph"/>
              <w:ind w:left="0"/>
            </w:pPr>
            <w:r>
              <w:t>2.333</w:t>
            </w:r>
          </w:p>
        </w:tc>
        <w:tc>
          <w:tcPr>
            <w:tcW w:w="2127" w:type="dxa"/>
          </w:tcPr>
          <w:p w:rsidR="00CA6CBE" w:rsidRDefault="00CA6CBE" w:rsidP="00CA6CBE">
            <w:pPr>
              <w:pStyle w:val="ListParagraph"/>
              <w:ind w:left="0"/>
            </w:pPr>
            <w:r>
              <w:t>1.4649</w:t>
            </w:r>
          </w:p>
        </w:tc>
        <w:tc>
          <w:tcPr>
            <w:tcW w:w="2127" w:type="dxa"/>
          </w:tcPr>
          <w:p w:rsidR="00CA6CBE" w:rsidRDefault="00CA6CBE" w:rsidP="00CA6CBE">
            <w:pPr>
              <w:pStyle w:val="ListParagraph"/>
              <w:ind w:left="0"/>
            </w:pPr>
            <w:r>
              <w:t>2.5775</w:t>
            </w:r>
          </w:p>
        </w:tc>
      </w:tr>
      <w:tr w:rsidR="00CA6CBE" w:rsidTr="00176019">
        <w:trPr>
          <w:trHeight w:val="300"/>
        </w:trPr>
        <w:tc>
          <w:tcPr>
            <w:tcW w:w="2134" w:type="dxa"/>
          </w:tcPr>
          <w:p w:rsidR="00CA6CBE" w:rsidRDefault="00CA6CBE" w:rsidP="00CA6CBE">
            <w:pPr>
              <w:pStyle w:val="ListParagraph"/>
              <w:ind w:left="0"/>
            </w:pPr>
            <w:r>
              <w:t>Quick ratio</w:t>
            </w:r>
          </w:p>
        </w:tc>
        <w:tc>
          <w:tcPr>
            <w:tcW w:w="2126" w:type="dxa"/>
          </w:tcPr>
          <w:p w:rsidR="00CA6CBE" w:rsidRDefault="00CA6CBE" w:rsidP="00CA6CBE">
            <w:pPr>
              <w:pStyle w:val="ListParagraph"/>
              <w:ind w:left="0"/>
            </w:pPr>
            <w:r>
              <w:t>0.8488</w:t>
            </w:r>
          </w:p>
        </w:tc>
        <w:tc>
          <w:tcPr>
            <w:tcW w:w="2127" w:type="dxa"/>
          </w:tcPr>
          <w:p w:rsidR="00CA6CBE" w:rsidRDefault="00CA6CBE" w:rsidP="00CA6CBE">
            <w:pPr>
              <w:pStyle w:val="ListParagraph"/>
              <w:ind w:left="0"/>
            </w:pPr>
            <w:r>
              <w:t>0.4962</w:t>
            </w:r>
          </w:p>
        </w:tc>
        <w:tc>
          <w:tcPr>
            <w:tcW w:w="2127" w:type="dxa"/>
          </w:tcPr>
          <w:p w:rsidR="00CA6CBE" w:rsidRDefault="00CA6CBE" w:rsidP="00CA6CBE">
            <w:pPr>
              <w:pStyle w:val="ListParagraph"/>
              <w:ind w:left="0"/>
            </w:pPr>
            <w:r>
              <w:t>0.9267</w:t>
            </w:r>
          </w:p>
        </w:tc>
      </w:tr>
      <w:tr w:rsidR="00176019" w:rsidTr="00176019">
        <w:trPr>
          <w:trHeight w:val="300"/>
        </w:trPr>
        <w:tc>
          <w:tcPr>
            <w:tcW w:w="2134" w:type="dxa"/>
          </w:tcPr>
          <w:p w:rsidR="00176019" w:rsidRDefault="00176019" w:rsidP="00CA6CBE">
            <w:pPr>
              <w:pStyle w:val="ListParagraph"/>
              <w:ind w:left="0"/>
            </w:pPr>
            <w:r>
              <w:t>Cash ratio</w:t>
            </w:r>
          </w:p>
        </w:tc>
        <w:tc>
          <w:tcPr>
            <w:tcW w:w="2126" w:type="dxa"/>
          </w:tcPr>
          <w:p w:rsidR="00176019" w:rsidRDefault="00176019" w:rsidP="00CA6CBE">
            <w:pPr>
              <w:pStyle w:val="ListParagraph"/>
              <w:ind w:left="0"/>
            </w:pPr>
            <w:r>
              <w:t>0.01868</w:t>
            </w:r>
          </w:p>
        </w:tc>
        <w:tc>
          <w:tcPr>
            <w:tcW w:w="2127" w:type="dxa"/>
          </w:tcPr>
          <w:p w:rsidR="00176019" w:rsidRDefault="00176019" w:rsidP="00CA6CBE">
            <w:pPr>
              <w:pStyle w:val="ListParagraph"/>
              <w:ind w:left="0"/>
            </w:pPr>
            <w:r>
              <w:t>0.00547</w:t>
            </w:r>
          </w:p>
        </w:tc>
        <w:tc>
          <w:tcPr>
            <w:tcW w:w="2127" w:type="dxa"/>
          </w:tcPr>
          <w:p w:rsidR="00176019" w:rsidRDefault="00176019" w:rsidP="00CA6CBE">
            <w:pPr>
              <w:pStyle w:val="ListParagraph"/>
              <w:ind w:left="0"/>
            </w:pPr>
            <w:r>
              <w:t>0.01346</w:t>
            </w:r>
          </w:p>
        </w:tc>
      </w:tr>
    </w:tbl>
    <w:p w:rsidR="00176019" w:rsidRDefault="005B535A" w:rsidP="00176019">
      <w:pPr>
        <w:pStyle w:val="ListParagraph"/>
        <w:ind w:hanging="294"/>
      </w:pPr>
      <w:r>
        <w:t xml:space="preserve">      </w:t>
      </w:r>
      <w:r w:rsidR="00CA6CBE">
        <w:t>In 2016, the liquidity of the company has gone down. Also</w:t>
      </w:r>
      <w:r w:rsidR="00176019">
        <w:t>, its liabilities increased, inventories and cash in 2016 have decreased</w:t>
      </w:r>
      <w:r>
        <w:t>. This indicates the company’s poor performance.  By 2017, it is planning to achieve more liquidity than in 2015.</w:t>
      </w:r>
      <w:r w:rsidR="00176019">
        <w:t>NO they don’t have equal interest in liquidity ratios. These ratios are useful</w:t>
      </w:r>
      <w:r>
        <w:t xml:space="preserve"> to bankers for credit analysis</w:t>
      </w:r>
      <w:r w:rsidR="00176019">
        <w:t xml:space="preserve"> in short term to company</w:t>
      </w:r>
      <w:r>
        <w:t xml:space="preserve">. Managers need to concentrate on operational efficiency which is given by activities ratio </w:t>
      </w:r>
      <w:r w:rsidR="00176019">
        <w:t xml:space="preserve">and also look for liquidity ratios </w:t>
      </w:r>
      <w:r>
        <w:t xml:space="preserve">and stock holders look </w:t>
      </w:r>
      <w:r w:rsidR="00176019">
        <w:t>to</w:t>
      </w:r>
    </w:p>
    <w:p w:rsidR="007E40E9" w:rsidRDefault="00176019" w:rsidP="00176019">
      <w:pPr>
        <w:pStyle w:val="ListParagraph"/>
        <w:ind w:hanging="294"/>
      </w:pPr>
      <w:r>
        <w:t xml:space="preserve">     p</w:t>
      </w:r>
      <w:r w:rsidR="005B535A">
        <w:t>rofitability of the company.</w:t>
      </w:r>
    </w:p>
    <w:p w:rsidR="007E40E9" w:rsidRDefault="007E40E9" w:rsidP="007E40E9">
      <w:pPr>
        <w:pStyle w:val="ListParagraph"/>
        <w:ind w:hanging="294"/>
      </w:pPr>
      <w:r>
        <w:t>C.</w:t>
      </w:r>
      <w:r w:rsidR="00176019">
        <w:t xml:space="preserve"> </w:t>
      </w:r>
      <w:proofErr w:type="spellStart"/>
      <w:r>
        <w:t>Inventory</w:t>
      </w:r>
      <w:proofErr w:type="spellEnd"/>
      <w:r>
        <w:t xml:space="preserve"> turnover          =3.379</w:t>
      </w:r>
    </w:p>
    <w:p w:rsidR="007E40E9" w:rsidRDefault="007E40E9" w:rsidP="007E40E9">
      <w:pPr>
        <w:pStyle w:val="ListParagraph"/>
        <w:ind w:hanging="294"/>
      </w:pPr>
      <w:r>
        <w:t xml:space="preserve">    Daily Sales </w:t>
      </w:r>
      <w:proofErr w:type="gramStart"/>
      <w:r>
        <w:t xml:space="preserve">Outstanding  </w:t>
      </w:r>
      <w:r w:rsidR="005B278C">
        <w:t>=</w:t>
      </w:r>
      <w:proofErr w:type="gramEnd"/>
      <w:r w:rsidR="005B278C">
        <w:t>45.5498</w:t>
      </w:r>
    </w:p>
    <w:p w:rsidR="007E40E9" w:rsidRDefault="007E40E9" w:rsidP="007E40E9">
      <w:pPr>
        <w:pStyle w:val="ListParagraph"/>
        <w:ind w:hanging="294"/>
      </w:pPr>
      <w:r>
        <w:t xml:space="preserve">    Fixed assets turnover      =</w:t>
      </w:r>
      <w:r w:rsidR="00ED34EA">
        <w:t xml:space="preserve"> </w:t>
      </w:r>
      <w:r w:rsidR="005B278C">
        <w:t>8.4073</w:t>
      </w:r>
    </w:p>
    <w:p w:rsidR="00893431" w:rsidRDefault="00893431" w:rsidP="007E40E9">
      <w:pPr>
        <w:pStyle w:val="ListParagraph"/>
        <w:ind w:hanging="294"/>
      </w:pPr>
      <w:r>
        <w:t xml:space="preserve">    Tot</w:t>
      </w:r>
      <w:r w:rsidR="005B278C">
        <w:t>al assets turnover       =</w:t>
      </w:r>
      <w:r w:rsidR="00ED34EA">
        <w:t xml:space="preserve"> </w:t>
      </w:r>
      <w:r w:rsidR="005B278C">
        <w:t>2.0005</w:t>
      </w:r>
    </w:p>
    <w:p w:rsidR="003E1725" w:rsidRDefault="003E1725" w:rsidP="007E40E9">
      <w:pPr>
        <w:pStyle w:val="ListParagraph"/>
        <w:ind w:hanging="294"/>
      </w:pPr>
      <w:r>
        <w:t xml:space="preserve">D. </w:t>
      </w:r>
      <w:r w:rsidR="0086324E">
        <w:rPr>
          <w:rFonts w:ascii="Times New Roman" w:hAnsi="Times New Roman"/>
          <w:sz w:val="24"/>
          <w:szCs w:val="24"/>
        </w:rPr>
        <w:t>debt times-interest-earned</w:t>
      </w:r>
      <w:r w:rsidR="0086324E">
        <w:rPr>
          <w:rFonts w:ascii="Times New Roman" w:hAnsi="Times New Roman"/>
          <w:sz w:val="24"/>
          <w:szCs w:val="24"/>
        </w:rPr>
        <w:t xml:space="preserve"> = 6.283</w:t>
      </w:r>
      <w:bookmarkStart w:id="0" w:name="_GoBack"/>
      <w:bookmarkEnd w:id="0"/>
    </w:p>
    <w:p w:rsidR="00ED34EA" w:rsidRDefault="00ED34EA" w:rsidP="007E40E9">
      <w:pPr>
        <w:pStyle w:val="ListParagraph"/>
        <w:ind w:hanging="294"/>
      </w:pPr>
      <w:r>
        <w:t>E. operating profit margin   = 0.0714</w:t>
      </w:r>
    </w:p>
    <w:p w:rsidR="00ED34EA" w:rsidRDefault="00ED34EA" w:rsidP="007E40E9">
      <w:pPr>
        <w:pStyle w:val="ListParagraph"/>
        <w:ind w:hanging="294"/>
      </w:pPr>
      <w:r>
        <w:t xml:space="preserve">     Net profit margin              =0.0360</w:t>
      </w:r>
    </w:p>
    <w:p w:rsidR="00ED34EA" w:rsidRDefault="00ED34EA" w:rsidP="007E40E9">
      <w:pPr>
        <w:pStyle w:val="ListParagraph"/>
        <w:ind w:hanging="294"/>
      </w:pPr>
      <w:r>
        <w:t xml:space="preserve">     Pre tax profit margin        =0.0600</w:t>
      </w:r>
    </w:p>
    <w:p w:rsidR="00ED34EA" w:rsidRDefault="00ED34EA" w:rsidP="007E40E9">
      <w:pPr>
        <w:pStyle w:val="ListParagraph"/>
        <w:ind w:hanging="294"/>
      </w:pPr>
      <w:r>
        <w:t xml:space="preserve">     Return </w:t>
      </w:r>
      <w:proofErr w:type="gramStart"/>
      <w:r>
        <w:t>On</w:t>
      </w:r>
      <w:proofErr w:type="gramEnd"/>
      <w:r>
        <w:t xml:space="preserve"> Assets              =0.0721</w:t>
      </w:r>
    </w:p>
    <w:p w:rsidR="00ED34EA" w:rsidRDefault="00ED34EA" w:rsidP="007E40E9">
      <w:pPr>
        <w:pStyle w:val="ListParagraph"/>
        <w:ind w:hanging="294"/>
      </w:pPr>
      <w:r>
        <w:t xml:space="preserve">     *Return </w:t>
      </w:r>
      <w:proofErr w:type="gramStart"/>
      <w:r>
        <w:t>On</w:t>
      </w:r>
      <w:proofErr w:type="gramEnd"/>
      <w:r>
        <w:t xml:space="preserve"> Equity              =0.1509 </w:t>
      </w:r>
    </w:p>
    <w:p w:rsidR="00ED34EA" w:rsidRDefault="00ED34EA" w:rsidP="007E40E9">
      <w:pPr>
        <w:pStyle w:val="ListParagraph"/>
        <w:ind w:hanging="294"/>
      </w:pPr>
      <w:r>
        <w:t xml:space="preserve">F. Price to </w:t>
      </w:r>
      <w:proofErr w:type="spellStart"/>
      <w:r>
        <w:t>Earning</w:t>
      </w:r>
      <w:proofErr w:type="spellEnd"/>
      <w:r>
        <w:t xml:space="preserve"> Ratio         </w:t>
      </w:r>
      <w:proofErr w:type="gramStart"/>
      <w:r>
        <w:t>=  12.0020</w:t>
      </w:r>
      <w:proofErr w:type="gramEnd"/>
    </w:p>
    <w:p w:rsidR="00027EF7" w:rsidRDefault="00027EF7" w:rsidP="007E40E9">
      <w:pPr>
        <w:pStyle w:val="ListParagraph"/>
        <w:ind w:hanging="294"/>
      </w:pPr>
      <w:r>
        <w:t xml:space="preserve">    Price to cash flow ratio       =217.3214</w:t>
      </w:r>
    </w:p>
    <w:p w:rsidR="00ED34EA" w:rsidRDefault="00ED34EA" w:rsidP="007E40E9">
      <w:pPr>
        <w:pStyle w:val="ListParagraph"/>
        <w:ind w:hanging="294"/>
      </w:pPr>
      <w:r>
        <w:t xml:space="preserve">    Market to Book Ratio          = 1.5388</w:t>
      </w:r>
    </w:p>
    <w:p w:rsidR="00893431" w:rsidRDefault="00D07E76" w:rsidP="007E40E9">
      <w:pPr>
        <w:pStyle w:val="ListParagraph"/>
        <w:ind w:hanging="294"/>
      </w:pPr>
      <w:r>
        <w:t xml:space="preserve">      </w:t>
      </w:r>
      <w:r w:rsidR="00027EF7">
        <w:t>Because all the ratios are very high which means less earnings</w:t>
      </w:r>
      <w:r>
        <w:t>, cash flows for higher price and less book value compared to market value. So, investors are expected to have low opinion on the company.</w:t>
      </w:r>
    </w:p>
    <w:p w:rsidR="007E40E9" w:rsidRDefault="007E40E9" w:rsidP="007E40E9">
      <w:pPr>
        <w:pStyle w:val="ListParagraph"/>
        <w:ind w:hanging="294"/>
      </w:pPr>
    </w:p>
    <w:p w:rsidR="007E40E9" w:rsidRDefault="00F64AE3" w:rsidP="00F64AE3">
      <w:pPr>
        <w:pStyle w:val="ListParagraph"/>
        <w:ind w:hanging="294"/>
      </w:pPr>
      <w:r>
        <w:t>G. Balance sheet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7"/>
        <w:gridCol w:w="1984"/>
        <w:gridCol w:w="1985"/>
        <w:gridCol w:w="2046"/>
      </w:tblGrid>
      <w:tr w:rsidR="00F64AE3" w:rsidTr="00B5288A">
        <w:trPr>
          <w:trHeight w:val="378"/>
        </w:trPr>
        <w:tc>
          <w:tcPr>
            <w:tcW w:w="2507" w:type="dxa"/>
          </w:tcPr>
          <w:p w:rsidR="00F64AE3" w:rsidRPr="00705880" w:rsidRDefault="00F64AE3" w:rsidP="00F64AE3">
            <w:pPr>
              <w:pStyle w:val="ListParagraph"/>
              <w:ind w:left="0"/>
              <w:rPr>
                <w:sz w:val="32"/>
                <w:szCs w:val="32"/>
              </w:rPr>
            </w:pPr>
            <w:r w:rsidRPr="00705880">
              <w:rPr>
                <w:sz w:val="32"/>
                <w:szCs w:val="32"/>
              </w:rPr>
              <w:t>Assets</w:t>
            </w:r>
          </w:p>
        </w:tc>
        <w:tc>
          <w:tcPr>
            <w:tcW w:w="1984" w:type="dxa"/>
          </w:tcPr>
          <w:p w:rsidR="00F64AE3" w:rsidRDefault="00F64AE3" w:rsidP="00F64AE3">
            <w:pPr>
              <w:pStyle w:val="ListParagraph"/>
              <w:ind w:left="0"/>
            </w:pPr>
            <w:r>
              <w:t>2015(</w:t>
            </w:r>
            <w:r w:rsidRPr="00F64AE3">
              <w:rPr>
                <w:sz w:val="16"/>
                <w:szCs w:val="16"/>
              </w:rPr>
              <w:t>in %</w:t>
            </w:r>
            <w:r w:rsidR="00705880">
              <w:rPr>
                <w:sz w:val="16"/>
                <w:szCs w:val="16"/>
              </w:rPr>
              <w:t xml:space="preserve">of total </w:t>
            </w:r>
            <w:r w:rsidRPr="00F64AE3">
              <w:rPr>
                <w:sz w:val="16"/>
                <w:szCs w:val="16"/>
              </w:rPr>
              <w:t>assets</w:t>
            </w:r>
            <w:r>
              <w:t>)</w:t>
            </w:r>
          </w:p>
        </w:tc>
        <w:tc>
          <w:tcPr>
            <w:tcW w:w="1985" w:type="dxa"/>
          </w:tcPr>
          <w:p w:rsidR="00F64AE3" w:rsidRDefault="00F64AE3" w:rsidP="00F64AE3">
            <w:pPr>
              <w:pStyle w:val="ListParagraph"/>
              <w:ind w:left="0"/>
            </w:pPr>
            <w:r>
              <w:t>2016(</w:t>
            </w:r>
            <w:r w:rsidR="00705880" w:rsidRPr="00F64AE3">
              <w:rPr>
                <w:sz w:val="16"/>
                <w:szCs w:val="16"/>
              </w:rPr>
              <w:t>in %</w:t>
            </w:r>
            <w:r w:rsidR="00705880">
              <w:rPr>
                <w:sz w:val="16"/>
                <w:szCs w:val="16"/>
              </w:rPr>
              <w:t xml:space="preserve">of total </w:t>
            </w:r>
            <w:r w:rsidR="00705880" w:rsidRPr="00F64AE3">
              <w:rPr>
                <w:sz w:val="16"/>
                <w:szCs w:val="16"/>
              </w:rPr>
              <w:t>assets</w:t>
            </w:r>
            <w:r>
              <w:t>)</w:t>
            </w:r>
          </w:p>
        </w:tc>
        <w:tc>
          <w:tcPr>
            <w:tcW w:w="2046" w:type="dxa"/>
          </w:tcPr>
          <w:p w:rsidR="00F64AE3" w:rsidRDefault="00F64AE3" w:rsidP="00F64AE3">
            <w:pPr>
              <w:pStyle w:val="ListParagraph"/>
              <w:ind w:left="0"/>
            </w:pPr>
            <w:r>
              <w:t>2017(</w:t>
            </w:r>
            <w:r w:rsidR="00705880" w:rsidRPr="00F64AE3">
              <w:rPr>
                <w:sz w:val="16"/>
                <w:szCs w:val="16"/>
              </w:rPr>
              <w:t>in %</w:t>
            </w:r>
            <w:r w:rsidR="00705880">
              <w:rPr>
                <w:sz w:val="16"/>
                <w:szCs w:val="16"/>
              </w:rPr>
              <w:t xml:space="preserve">of total </w:t>
            </w:r>
            <w:r w:rsidR="00705880" w:rsidRPr="00F64AE3">
              <w:rPr>
                <w:sz w:val="16"/>
                <w:szCs w:val="16"/>
              </w:rPr>
              <w:t>assets</w:t>
            </w:r>
            <w:r>
              <w:t>)</w:t>
            </w:r>
          </w:p>
        </w:tc>
      </w:tr>
      <w:tr w:rsidR="00F64AE3" w:rsidTr="00B5288A">
        <w:trPr>
          <w:trHeight w:val="257"/>
        </w:trPr>
        <w:tc>
          <w:tcPr>
            <w:tcW w:w="2507" w:type="dxa"/>
          </w:tcPr>
          <w:p w:rsidR="00F64AE3" w:rsidRDefault="00F64AE3" w:rsidP="00F64AE3">
            <w:pPr>
              <w:pStyle w:val="ListParagraph"/>
              <w:ind w:left="0"/>
            </w:pPr>
            <w:r>
              <w:t>Cash</w:t>
            </w:r>
          </w:p>
        </w:tc>
        <w:tc>
          <w:tcPr>
            <w:tcW w:w="1984" w:type="dxa"/>
          </w:tcPr>
          <w:p w:rsidR="00F64AE3" w:rsidRDefault="00F64AE3" w:rsidP="00F64AE3">
            <w:pPr>
              <w:pStyle w:val="ListParagraph"/>
              <w:ind w:left="0"/>
            </w:pPr>
            <w:r>
              <w:t>0.6127</w:t>
            </w:r>
          </w:p>
        </w:tc>
        <w:tc>
          <w:tcPr>
            <w:tcW w:w="1985" w:type="dxa"/>
          </w:tcPr>
          <w:p w:rsidR="00F64AE3" w:rsidRDefault="00F64AE3" w:rsidP="00F64AE3">
            <w:pPr>
              <w:pStyle w:val="ListParagraph"/>
              <w:ind w:left="0"/>
            </w:pPr>
            <w:r>
              <w:t>0.2522</w:t>
            </w:r>
          </w:p>
        </w:tc>
        <w:tc>
          <w:tcPr>
            <w:tcW w:w="2046" w:type="dxa"/>
          </w:tcPr>
          <w:p w:rsidR="00F64AE3" w:rsidRDefault="00F64AE3" w:rsidP="00F64AE3">
            <w:pPr>
              <w:pStyle w:val="ListParagraph"/>
              <w:ind w:left="0"/>
            </w:pPr>
            <w:r>
              <w:t>0.398</w:t>
            </w:r>
          </w:p>
        </w:tc>
      </w:tr>
      <w:tr w:rsidR="00F64AE3" w:rsidTr="00B5288A">
        <w:trPr>
          <w:trHeight w:val="268"/>
        </w:trPr>
        <w:tc>
          <w:tcPr>
            <w:tcW w:w="2507" w:type="dxa"/>
          </w:tcPr>
          <w:p w:rsidR="00F64AE3" w:rsidRDefault="00F64AE3" w:rsidP="00F64AE3">
            <w:pPr>
              <w:pStyle w:val="ListParagraph"/>
              <w:ind w:left="0"/>
            </w:pPr>
            <w:r>
              <w:t>Short term investments</w:t>
            </w:r>
          </w:p>
        </w:tc>
        <w:tc>
          <w:tcPr>
            <w:tcW w:w="1984" w:type="dxa"/>
          </w:tcPr>
          <w:p w:rsidR="00F64AE3" w:rsidRDefault="00F64AE3" w:rsidP="00F64AE3">
            <w:pPr>
              <w:pStyle w:val="ListParagraph"/>
              <w:ind w:left="0"/>
            </w:pPr>
            <w:r>
              <w:t>3.3088</w:t>
            </w:r>
          </w:p>
        </w:tc>
        <w:tc>
          <w:tcPr>
            <w:tcW w:w="1985" w:type="dxa"/>
          </w:tcPr>
          <w:p w:rsidR="00F64AE3" w:rsidRDefault="00F64AE3" w:rsidP="00F64AE3">
            <w:pPr>
              <w:pStyle w:val="ListParagraph"/>
              <w:ind w:left="0"/>
            </w:pPr>
            <w:r>
              <w:t>0.6928</w:t>
            </w:r>
          </w:p>
        </w:tc>
        <w:tc>
          <w:tcPr>
            <w:tcW w:w="2046" w:type="dxa"/>
          </w:tcPr>
          <w:p w:rsidR="00F64AE3" w:rsidRDefault="00705880" w:rsidP="00F64AE3">
            <w:pPr>
              <w:pStyle w:val="ListParagraph"/>
              <w:ind w:left="0"/>
            </w:pPr>
            <w:r>
              <w:t>2.0367</w:t>
            </w:r>
          </w:p>
        </w:tc>
      </w:tr>
      <w:tr w:rsidR="00F64AE3" w:rsidTr="00B5288A">
        <w:trPr>
          <w:trHeight w:val="257"/>
        </w:trPr>
        <w:tc>
          <w:tcPr>
            <w:tcW w:w="2507" w:type="dxa"/>
          </w:tcPr>
          <w:p w:rsidR="00F64AE3" w:rsidRDefault="00705880" w:rsidP="00F64AE3">
            <w:pPr>
              <w:pStyle w:val="ListParagraph"/>
              <w:ind w:left="0"/>
            </w:pPr>
            <w:r>
              <w:t>Accounts receivable</w:t>
            </w:r>
          </w:p>
        </w:tc>
        <w:tc>
          <w:tcPr>
            <w:tcW w:w="1984" w:type="dxa"/>
          </w:tcPr>
          <w:p w:rsidR="00F64AE3" w:rsidRDefault="00705880" w:rsidP="00F64AE3">
            <w:pPr>
              <w:pStyle w:val="ListParagraph"/>
              <w:ind w:left="0"/>
            </w:pPr>
            <w:r>
              <w:t>23.9106</w:t>
            </w:r>
          </w:p>
        </w:tc>
        <w:tc>
          <w:tcPr>
            <w:tcW w:w="1985" w:type="dxa"/>
          </w:tcPr>
          <w:p w:rsidR="00F64AE3" w:rsidRDefault="00705880" w:rsidP="00F64AE3">
            <w:pPr>
              <w:pStyle w:val="ListParagraph"/>
              <w:ind w:left="0"/>
            </w:pPr>
            <w:r>
              <w:t>21.8998</w:t>
            </w:r>
          </w:p>
        </w:tc>
        <w:tc>
          <w:tcPr>
            <w:tcW w:w="2046" w:type="dxa"/>
          </w:tcPr>
          <w:p w:rsidR="00F64AE3" w:rsidRDefault="00705880" w:rsidP="00F64AE3">
            <w:pPr>
              <w:pStyle w:val="ListParagraph"/>
              <w:ind w:left="0"/>
            </w:pPr>
            <w:r>
              <w:t>24.9647</w:t>
            </w:r>
          </w:p>
        </w:tc>
      </w:tr>
      <w:tr w:rsidR="00F64AE3" w:rsidTr="00B5288A">
        <w:trPr>
          <w:trHeight w:val="257"/>
        </w:trPr>
        <w:tc>
          <w:tcPr>
            <w:tcW w:w="2507" w:type="dxa"/>
          </w:tcPr>
          <w:p w:rsidR="00F64AE3" w:rsidRDefault="00705880" w:rsidP="00F64AE3">
            <w:pPr>
              <w:pStyle w:val="ListParagraph"/>
              <w:ind w:left="0"/>
            </w:pPr>
            <w:r>
              <w:t>Inventories</w:t>
            </w:r>
          </w:p>
        </w:tc>
        <w:tc>
          <w:tcPr>
            <w:tcW w:w="1984" w:type="dxa"/>
          </w:tcPr>
          <w:p w:rsidR="00F64AE3" w:rsidRDefault="00705880" w:rsidP="00F64AE3">
            <w:pPr>
              <w:pStyle w:val="ListParagraph"/>
              <w:ind w:left="0"/>
            </w:pPr>
            <w:r>
              <w:t>48.6928</w:t>
            </w:r>
          </w:p>
        </w:tc>
        <w:tc>
          <w:tcPr>
            <w:tcW w:w="1985" w:type="dxa"/>
          </w:tcPr>
          <w:p w:rsidR="00F64AE3" w:rsidRDefault="00705880" w:rsidP="00F64AE3">
            <w:pPr>
              <w:pStyle w:val="ListParagraph"/>
              <w:ind w:left="0"/>
            </w:pPr>
            <w:r>
              <w:t>44.5979</w:t>
            </w:r>
          </w:p>
        </w:tc>
        <w:tc>
          <w:tcPr>
            <w:tcW w:w="2046" w:type="dxa"/>
          </w:tcPr>
          <w:p w:rsidR="00F64AE3" w:rsidRDefault="00705880" w:rsidP="00F64AE3">
            <w:pPr>
              <w:pStyle w:val="ListParagraph"/>
              <w:ind w:left="0"/>
            </w:pPr>
            <w:r>
              <w:t>48.8059</w:t>
            </w:r>
          </w:p>
        </w:tc>
      </w:tr>
      <w:tr w:rsidR="00F64AE3" w:rsidTr="00B5288A">
        <w:trPr>
          <w:trHeight w:val="257"/>
        </w:trPr>
        <w:tc>
          <w:tcPr>
            <w:tcW w:w="2507" w:type="dxa"/>
          </w:tcPr>
          <w:p w:rsidR="00F64AE3" w:rsidRDefault="00705880" w:rsidP="00F64AE3">
            <w:pPr>
              <w:pStyle w:val="ListParagraph"/>
              <w:ind w:left="0"/>
            </w:pPr>
            <w:r>
              <w:t>Total Current Assets</w:t>
            </w:r>
          </w:p>
        </w:tc>
        <w:tc>
          <w:tcPr>
            <w:tcW w:w="1984" w:type="dxa"/>
          </w:tcPr>
          <w:p w:rsidR="00F64AE3" w:rsidRDefault="00705880" w:rsidP="00F64AE3">
            <w:pPr>
              <w:pStyle w:val="ListParagraph"/>
              <w:ind w:left="0"/>
            </w:pPr>
            <w:r>
              <w:t>76.5250</w:t>
            </w:r>
          </w:p>
        </w:tc>
        <w:tc>
          <w:tcPr>
            <w:tcW w:w="1985" w:type="dxa"/>
          </w:tcPr>
          <w:p w:rsidR="00F64AE3" w:rsidRDefault="00705880" w:rsidP="00F64AE3">
            <w:pPr>
              <w:pStyle w:val="ListParagraph"/>
              <w:ind w:left="0"/>
            </w:pPr>
            <w:r>
              <w:t>67.4400</w:t>
            </w:r>
          </w:p>
        </w:tc>
        <w:tc>
          <w:tcPr>
            <w:tcW w:w="2046" w:type="dxa"/>
          </w:tcPr>
          <w:p w:rsidR="00F64AE3" w:rsidRDefault="00705880" w:rsidP="00F64AE3">
            <w:pPr>
              <w:pStyle w:val="ListParagraph"/>
              <w:ind w:left="0"/>
            </w:pPr>
            <w:r>
              <w:t>76.2000</w:t>
            </w:r>
          </w:p>
        </w:tc>
      </w:tr>
      <w:tr w:rsidR="00F64AE3" w:rsidTr="00B5288A">
        <w:trPr>
          <w:trHeight w:val="268"/>
        </w:trPr>
        <w:tc>
          <w:tcPr>
            <w:tcW w:w="2507" w:type="dxa"/>
          </w:tcPr>
          <w:p w:rsidR="00F64AE3" w:rsidRDefault="00705880" w:rsidP="00F64AE3">
            <w:pPr>
              <w:pStyle w:val="ListParagraph"/>
              <w:ind w:left="0"/>
            </w:pPr>
            <w:r>
              <w:t>Gross Fixed Assets</w:t>
            </w:r>
          </w:p>
        </w:tc>
        <w:tc>
          <w:tcPr>
            <w:tcW w:w="1984" w:type="dxa"/>
          </w:tcPr>
          <w:p w:rsidR="00F64AE3" w:rsidRDefault="00705880" w:rsidP="00F64AE3">
            <w:pPr>
              <w:pStyle w:val="ListParagraph"/>
              <w:ind w:left="0"/>
            </w:pPr>
            <w:r>
              <w:t>33.4286</w:t>
            </w:r>
          </w:p>
        </w:tc>
        <w:tc>
          <w:tcPr>
            <w:tcW w:w="1985" w:type="dxa"/>
          </w:tcPr>
          <w:p w:rsidR="00F64AE3" w:rsidRDefault="00705880" w:rsidP="00F64AE3">
            <w:pPr>
              <w:pStyle w:val="ListParagraph"/>
              <w:ind w:left="0"/>
            </w:pPr>
            <w:r>
              <w:t>41.6737</w:t>
            </w:r>
          </w:p>
        </w:tc>
        <w:tc>
          <w:tcPr>
            <w:tcW w:w="2046" w:type="dxa"/>
          </w:tcPr>
          <w:p w:rsidR="00705880" w:rsidRDefault="00705880" w:rsidP="00F64AE3">
            <w:pPr>
              <w:pStyle w:val="ListParagraph"/>
              <w:ind w:left="0"/>
            </w:pPr>
            <w:r>
              <w:t>34.6891</w:t>
            </w:r>
          </w:p>
        </w:tc>
      </w:tr>
      <w:tr w:rsidR="00F64AE3" w:rsidTr="00B5288A">
        <w:trPr>
          <w:trHeight w:val="257"/>
        </w:trPr>
        <w:tc>
          <w:tcPr>
            <w:tcW w:w="2507" w:type="dxa"/>
          </w:tcPr>
          <w:p w:rsidR="00F64AE3" w:rsidRPr="00705880" w:rsidRDefault="00705880" w:rsidP="00F64AE3">
            <w:pPr>
              <w:pStyle w:val="ListParagraph"/>
              <w:ind w:left="0"/>
              <w:rPr>
                <w:sz w:val="20"/>
                <w:szCs w:val="20"/>
              </w:rPr>
            </w:pPr>
            <w:r w:rsidRPr="00705880">
              <w:rPr>
                <w:sz w:val="20"/>
                <w:szCs w:val="20"/>
              </w:rPr>
              <w:t>Accumulated Depreciation</w:t>
            </w:r>
          </w:p>
        </w:tc>
        <w:tc>
          <w:tcPr>
            <w:tcW w:w="1984" w:type="dxa"/>
          </w:tcPr>
          <w:p w:rsidR="00F64AE3" w:rsidRDefault="00705880" w:rsidP="00F64AE3">
            <w:pPr>
              <w:pStyle w:val="ListParagraph"/>
              <w:ind w:left="0"/>
            </w:pPr>
            <w:r>
              <w:t>9.9537</w:t>
            </w:r>
          </w:p>
        </w:tc>
        <w:tc>
          <w:tcPr>
            <w:tcW w:w="1985" w:type="dxa"/>
          </w:tcPr>
          <w:p w:rsidR="00F64AE3" w:rsidRDefault="00705880" w:rsidP="00F64AE3">
            <w:pPr>
              <w:pStyle w:val="ListParagraph"/>
              <w:ind w:left="0"/>
            </w:pPr>
            <w:r>
              <w:t>9.1166</w:t>
            </w:r>
          </w:p>
        </w:tc>
        <w:tc>
          <w:tcPr>
            <w:tcW w:w="2046" w:type="dxa"/>
          </w:tcPr>
          <w:p w:rsidR="00705880" w:rsidRDefault="00705880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10.8946</w:t>
            </w:r>
            <w:r>
              <w:tab/>
            </w:r>
          </w:p>
        </w:tc>
      </w:tr>
      <w:tr w:rsidR="00705880" w:rsidTr="00B5288A">
        <w:trPr>
          <w:trHeight w:val="257"/>
        </w:trPr>
        <w:tc>
          <w:tcPr>
            <w:tcW w:w="2507" w:type="dxa"/>
          </w:tcPr>
          <w:p w:rsidR="00705880" w:rsidRPr="00705880" w:rsidRDefault="00705880" w:rsidP="00F64AE3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Net Fixed Assets</w:t>
            </w:r>
          </w:p>
        </w:tc>
        <w:tc>
          <w:tcPr>
            <w:tcW w:w="1984" w:type="dxa"/>
          </w:tcPr>
          <w:p w:rsidR="00705880" w:rsidRDefault="00705880" w:rsidP="00F64AE3">
            <w:pPr>
              <w:pStyle w:val="ListParagraph"/>
              <w:ind w:left="0"/>
            </w:pPr>
            <w:r>
              <w:t>23.4749</w:t>
            </w:r>
          </w:p>
        </w:tc>
        <w:tc>
          <w:tcPr>
            <w:tcW w:w="1985" w:type="dxa"/>
          </w:tcPr>
          <w:p w:rsidR="00705880" w:rsidRDefault="00705880" w:rsidP="00F64AE3">
            <w:pPr>
              <w:pStyle w:val="ListParagraph"/>
              <w:ind w:left="0"/>
            </w:pPr>
            <w:r>
              <w:t>32.5570</w:t>
            </w:r>
          </w:p>
        </w:tc>
        <w:tc>
          <w:tcPr>
            <w:tcW w:w="2046" w:type="dxa"/>
          </w:tcPr>
          <w:p w:rsidR="00705880" w:rsidRDefault="00705880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23.7944</w:t>
            </w:r>
          </w:p>
        </w:tc>
      </w:tr>
      <w:tr w:rsidR="00705880" w:rsidTr="00B5288A">
        <w:trPr>
          <w:trHeight w:val="770"/>
        </w:trPr>
        <w:tc>
          <w:tcPr>
            <w:tcW w:w="2507" w:type="dxa"/>
          </w:tcPr>
          <w:p w:rsidR="00705880" w:rsidRPr="00705880" w:rsidRDefault="00705880" w:rsidP="00F64AE3">
            <w:pPr>
              <w:pStyle w:val="ListParagraph"/>
              <w:ind w:left="0"/>
              <w:rPr>
                <w:sz w:val="32"/>
                <w:szCs w:val="32"/>
              </w:rPr>
            </w:pPr>
            <w:r w:rsidRPr="00705880">
              <w:rPr>
                <w:sz w:val="32"/>
                <w:szCs w:val="32"/>
              </w:rPr>
              <w:t>Liabilities &amp; Equities</w:t>
            </w:r>
          </w:p>
        </w:tc>
        <w:tc>
          <w:tcPr>
            <w:tcW w:w="1984" w:type="dxa"/>
          </w:tcPr>
          <w:p w:rsidR="00705880" w:rsidRDefault="00705880" w:rsidP="00F64AE3">
            <w:pPr>
              <w:pStyle w:val="ListParagraph"/>
              <w:ind w:left="0"/>
            </w:pPr>
          </w:p>
        </w:tc>
        <w:tc>
          <w:tcPr>
            <w:tcW w:w="1985" w:type="dxa"/>
          </w:tcPr>
          <w:p w:rsidR="00705880" w:rsidRDefault="00705880" w:rsidP="00F64AE3">
            <w:pPr>
              <w:pStyle w:val="ListParagraph"/>
              <w:ind w:left="0"/>
            </w:pPr>
          </w:p>
        </w:tc>
        <w:tc>
          <w:tcPr>
            <w:tcW w:w="2046" w:type="dxa"/>
          </w:tcPr>
          <w:p w:rsidR="00705880" w:rsidRDefault="00705880" w:rsidP="00705880">
            <w:pPr>
              <w:pStyle w:val="ListParagraph"/>
              <w:tabs>
                <w:tab w:val="right" w:pos="1830"/>
              </w:tabs>
              <w:ind w:left="0"/>
            </w:pPr>
          </w:p>
        </w:tc>
      </w:tr>
      <w:tr w:rsidR="00705880" w:rsidTr="00B5288A">
        <w:trPr>
          <w:trHeight w:val="257"/>
        </w:trPr>
        <w:tc>
          <w:tcPr>
            <w:tcW w:w="2507" w:type="dxa"/>
          </w:tcPr>
          <w:p w:rsidR="00705880" w:rsidRPr="00705880" w:rsidRDefault="00705880" w:rsidP="00F64AE3">
            <w:pPr>
              <w:pStyle w:val="ListParagraph"/>
              <w:ind w:left="0"/>
            </w:pPr>
            <w:r>
              <w:t>Accounts Payable</w:t>
            </w:r>
          </w:p>
        </w:tc>
        <w:tc>
          <w:tcPr>
            <w:tcW w:w="1984" w:type="dxa"/>
          </w:tcPr>
          <w:p w:rsidR="00705880" w:rsidRDefault="00705880" w:rsidP="00F64AE3">
            <w:pPr>
              <w:pStyle w:val="ListParagraph"/>
              <w:ind w:left="0"/>
            </w:pPr>
            <w:r>
              <w:t>9.9128</w:t>
            </w:r>
          </w:p>
        </w:tc>
        <w:tc>
          <w:tcPr>
            <w:tcW w:w="1985" w:type="dxa"/>
          </w:tcPr>
          <w:p w:rsidR="00705880" w:rsidRDefault="00B5288A" w:rsidP="00F64AE3">
            <w:pPr>
              <w:pStyle w:val="ListParagraph"/>
              <w:ind w:left="0"/>
            </w:pPr>
            <w:r>
              <w:t>11.2243</w:t>
            </w:r>
          </w:p>
        </w:tc>
        <w:tc>
          <w:tcPr>
            <w:tcW w:w="2046" w:type="dxa"/>
          </w:tcPr>
          <w:p w:rsidR="00705880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10.2304</w:t>
            </w:r>
          </w:p>
        </w:tc>
      </w:tr>
      <w:tr w:rsidR="00B5288A" w:rsidTr="00B5288A">
        <w:trPr>
          <w:trHeight w:val="257"/>
        </w:trPr>
        <w:tc>
          <w:tcPr>
            <w:tcW w:w="2507" w:type="dxa"/>
          </w:tcPr>
          <w:p w:rsidR="00B5288A" w:rsidRDefault="00B5288A" w:rsidP="00F64AE3">
            <w:pPr>
              <w:pStyle w:val="ListParagraph"/>
              <w:ind w:left="0"/>
            </w:pPr>
            <w:r>
              <w:t>Notes Payable</w:t>
            </w:r>
          </w:p>
        </w:tc>
        <w:tc>
          <w:tcPr>
            <w:tcW w:w="1984" w:type="dxa"/>
          </w:tcPr>
          <w:p w:rsidR="00B5288A" w:rsidRDefault="00B5288A" w:rsidP="00F64AE3">
            <w:pPr>
              <w:pStyle w:val="ListParagraph"/>
              <w:ind w:left="0"/>
            </w:pPr>
            <w:r>
              <w:t>13.6165</w:t>
            </w:r>
          </w:p>
        </w:tc>
        <w:tc>
          <w:tcPr>
            <w:tcW w:w="1985" w:type="dxa"/>
          </w:tcPr>
          <w:p w:rsidR="00B5288A" w:rsidRDefault="00B5288A" w:rsidP="00F64AE3">
            <w:pPr>
              <w:pStyle w:val="ListParagraph"/>
              <w:ind w:left="0"/>
            </w:pPr>
            <w:r>
              <w:t>24.9429</w:t>
            </w:r>
          </w:p>
        </w:tc>
        <w:tc>
          <w:tcPr>
            <w:tcW w:w="2046" w:type="dxa"/>
          </w:tcPr>
          <w:p w:rsidR="00B5288A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8.5301</w:t>
            </w:r>
          </w:p>
        </w:tc>
      </w:tr>
      <w:tr w:rsidR="00B5288A" w:rsidTr="00B5288A">
        <w:trPr>
          <w:trHeight w:val="268"/>
        </w:trPr>
        <w:tc>
          <w:tcPr>
            <w:tcW w:w="2507" w:type="dxa"/>
          </w:tcPr>
          <w:p w:rsidR="00B5288A" w:rsidRDefault="00B5288A" w:rsidP="00F64AE3">
            <w:pPr>
              <w:pStyle w:val="ListParagraph"/>
              <w:ind w:left="0"/>
            </w:pPr>
            <w:r>
              <w:t>Accruals</w:t>
            </w:r>
          </w:p>
        </w:tc>
        <w:tc>
          <w:tcPr>
            <w:tcW w:w="1984" w:type="dxa"/>
          </w:tcPr>
          <w:p w:rsidR="00B5288A" w:rsidRDefault="00B5288A" w:rsidP="00F64AE3">
            <w:pPr>
              <w:pStyle w:val="ListParagraph"/>
              <w:ind w:left="0"/>
            </w:pPr>
            <w:r>
              <w:t>9.2592</w:t>
            </w:r>
          </w:p>
        </w:tc>
        <w:tc>
          <w:tcPr>
            <w:tcW w:w="1985" w:type="dxa"/>
          </w:tcPr>
          <w:p w:rsidR="00B5288A" w:rsidRDefault="00B5288A" w:rsidP="00F64AE3">
            <w:pPr>
              <w:pStyle w:val="ListParagraph"/>
              <w:ind w:left="0"/>
            </w:pPr>
            <w:r>
              <w:t>9.8718</w:t>
            </w:r>
          </w:p>
        </w:tc>
        <w:tc>
          <w:tcPr>
            <w:tcW w:w="2046" w:type="dxa"/>
          </w:tcPr>
          <w:p w:rsidR="00B5288A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10.8048</w:t>
            </w:r>
          </w:p>
        </w:tc>
      </w:tr>
      <w:tr w:rsidR="00B5288A" w:rsidTr="00B5288A">
        <w:trPr>
          <w:trHeight w:val="257"/>
        </w:trPr>
        <w:tc>
          <w:tcPr>
            <w:tcW w:w="2507" w:type="dxa"/>
          </w:tcPr>
          <w:p w:rsidR="00B5288A" w:rsidRDefault="00B5288A" w:rsidP="00F64AE3">
            <w:pPr>
              <w:pStyle w:val="ListParagraph"/>
              <w:ind w:left="0"/>
            </w:pPr>
            <w:r>
              <w:t>Total Current Liabilities</w:t>
            </w:r>
          </w:p>
        </w:tc>
        <w:tc>
          <w:tcPr>
            <w:tcW w:w="1984" w:type="dxa"/>
          </w:tcPr>
          <w:p w:rsidR="00B5288A" w:rsidRDefault="00B5288A" w:rsidP="00F64AE3">
            <w:pPr>
              <w:pStyle w:val="ListParagraph"/>
              <w:ind w:left="0"/>
            </w:pPr>
            <w:r>
              <w:t>32.7886</w:t>
            </w:r>
          </w:p>
        </w:tc>
        <w:tc>
          <w:tcPr>
            <w:tcW w:w="1985" w:type="dxa"/>
          </w:tcPr>
          <w:p w:rsidR="00B5288A" w:rsidRDefault="00B5288A" w:rsidP="00F64AE3">
            <w:pPr>
              <w:pStyle w:val="ListParagraph"/>
              <w:ind w:left="0"/>
            </w:pPr>
            <w:r>
              <w:t>46.0390</w:t>
            </w:r>
          </w:p>
        </w:tc>
        <w:tc>
          <w:tcPr>
            <w:tcW w:w="2046" w:type="dxa"/>
          </w:tcPr>
          <w:p w:rsidR="00B5288A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29.5653</w:t>
            </w:r>
          </w:p>
        </w:tc>
      </w:tr>
      <w:tr w:rsidR="00B5288A" w:rsidTr="00B5288A">
        <w:trPr>
          <w:trHeight w:val="257"/>
        </w:trPr>
        <w:tc>
          <w:tcPr>
            <w:tcW w:w="2507" w:type="dxa"/>
          </w:tcPr>
          <w:p w:rsidR="00B5288A" w:rsidRDefault="00B5288A" w:rsidP="00F64AE3">
            <w:pPr>
              <w:pStyle w:val="ListParagraph"/>
              <w:ind w:left="0"/>
            </w:pPr>
            <w:r>
              <w:t>Long term debt</w:t>
            </w:r>
          </w:p>
        </w:tc>
        <w:tc>
          <w:tcPr>
            <w:tcW w:w="1984" w:type="dxa"/>
          </w:tcPr>
          <w:p w:rsidR="00B5288A" w:rsidRDefault="00B5288A" w:rsidP="00F64AE3">
            <w:pPr>
              <w:pStyle w:val="ListParagraph"/>
              <w:ind w:left="0"/>
            </w:pPr>
            <w:r>
              <w:t>22.0201</w:t>
            </w:r>
          </w:p>
        </w:tc>
        <w:tc>
          <w:tcPr>
            <w:tcW w:w="1985" w:type="dxa"/>
          </w:tcPr>
          <w:p w:rsidR="00B5288A" w:rsidRDefault="00B5288A" w:rsidP="00F64AE3">
            <w:pPr>
              <w:pStyle w:val="ListParagraph"/>
              <w:ind w:left="0"/>
            </w:pPr>
            <w:r>
              <w:t>34.6429</w:t>
            </w:r>
          </w:p>
        </w:tc>
        <w:tc>
          <w:tcPr>
            <w:tcW w:w="2046" w:type="dxa"/>
          </w:tcPr>
          <w:p w:rsidR="00B5288A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14.2168</w:t>
            </w:r>
          </w:p>
        </w:tc>
      </w:tr>
      <w:tr w:rsidR="00B5288A" w:rsidTr="00B5288A">
        <w:trPr>
          <w:trHeight w:val="257"/>
        </w:trPr>
        <w:tc>
          <w:tcPr>
            <w:tcW w:w="2507" w:type="dxa"/>
          </w:tcPr>
          <w:p w:rsidR="00B5288A" w:rsidRDefault="00B5288A" w:rsidP="00F64AE3">
            <w:pPr>
              <w:pStyle w:val="ListParagraph"/>
              <w:ind w:left="0"/>
            </w:pPr>
            <w:r>
              <w:t>Common stock(100,000)</w:t>
            </w:r>
          </w:p>
        </w:tc>
        <w:tc>
          <w:tcPr>
            <w:tcW w:w="1984" w:type="dxa"/>
          </w:tcPr>
          <w:p w:rsidR="00B5288A" w:rsidRDefault="00B5288A" w:rsidP="00F64AE3">
            <w:pPr>
              <w:pStyle w:val="ListParagraph"/>
              <w:ind w:left="0"/>
            </w:pPr>
            <w:r>
              <w:t>31.3180</w:t>
            </w:r>
          </w:p>
        </w:tc>
        <w:tc>
          <w:tcPr>
            <w:tcW w:w="1985" w:type="dxa"/>
          </w:tcPr>
          <w:p w:rsidR="00B5288A" w:rsidRDefault="00B5288A" w:rsidP="00F64AE3">
            <w:pPr>
              <w:pStyle w:val="ListParagraph"/>
              <w:ind w:left="0"/>
            </w:pPr>
            <w:r>
              <w:t>15.9357</w:t>
            </w:r>
          </w:p>
        </w:tc>
        <w:tc>
          <w:tcPr>
            <w:tcW w:w="2046" w:type="dxa"/>
          </w:tcPr>
          <w:p w:rsidR="00B5288A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47.7952</w:t>
            </w:r>
          </w:p>
        </w:tc>
      </w:tr>
      <w:tr w:rsidR="00B5288A" w:rsidTr="00B5288A">
        <w:trPr>
          <w:trHeight w:val="268"/>
        </w:trPr>
        <w:tc>
          <w:tcPr>
            <w:tcW w:w="2507" w:type="dxa"/>
          </w:tcPr>
          <w:p w:rsidR="00B5288A" w:rsidRDefault="00B5288A" w:rsidP="00F64AE3">
            <w:pPr>
              <w:pStyle w:val="ListParagraph"/>
              <w:ind w:left="0"/>
            </w:pPr>
            <w:r>
              <w:t>Retained Earnings</w:t>
            </w:r>
          </w:p>
        </w:tc>
        <w:tc>
          <w:tcPr>
            <w:tcW w:w="1984" w:type="dxa"/>
          </w:tcPr>
          <w:p w:rsidR="00B5288A" w:rsidRDefault="00B5288A" w:rsidP="00F64AE3">
            <w:pPr>
              <w:pStyle w:val="ListParagraph"/>
              <w:ind w:left="0"/>
            </w:pPr>
            <w:r>
              <w:t>13.8731</w:t>
            </w:r>
          </w:p>
        </w:tc>
        <w:tc>
          <w:tcPr>
            <w:tcW w:w="1985" w:type="dxa"/>
          </w:tcPr>
          <w:p w:rsidR="00B5288A" w:rsidRDefault="00B5288A" w:rsidP="00F64AE3">
            <w:pPr>
              <w:pStyle w:val="ListParagraph"/>
              <w:ind w:left="0"/>
            </w:pPr>
            <w:r>
              <w:t>3.3822</w:t>
            </w:r>
          </w:p>
        </w:tc>
        <w:tc>
          <w:tcPr>
            <w:tcW w:w="2046" w:type="dxa"/>
          </w:tcPr>
          <w:p w:rsidR="00B5288A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8.4225</w:t>
            </w:r>
          </w:p>
        </w:tc>
      </w:tr>
      <w:tr w:rsidR="00B5288A" w:rsidTr="00B5288A">
        <w:trPr>
          <w:trHeight w:val="257"/>
        </w:trPr>
        <w:tc>
          <w:tcPr>
            <w:tcW w:w="2507" w:type="dxa"/>
          </w:tcPr>
          <w:p w:rsidR="00B5288A" w:rsidRDefault="00B5288A" w:rsidP="00F64AE3">
            <w:pPr>
              <w:pStyle w:val="ListParagraph"/>
              <w:ind w:left="0"/>
            </w:pPr>
            <w:r>
              <w:t>Total Equity</w:t>
            </w:r>
          </w:p>
        </w:tc>
        <w:tc>
          <w:tcPr>
            <w:tcW w:w="1984" w:type="dxa"/>
          </w:tcPr>
          <w:p w:rsidR="00B5288A" w:rsidRDefault="00B5288A" w:rsidP="00F64AE3">
            <w:pPr>
              <w:pStyle w:val="ListParagraph"/>
              <w:ind w:left="0"/>
            </w:pPr>
            <w:r>
              <w:t>45.1911</w:t>
            </w:r>
          </w:p>
        </w:tc>
        <w:tc>
          <w:tcPr>
            <w:tcW w:w="1985" w:type="dxa"/>
          </w:tcPr>
          <w:p w:rsidR="00B5288A" w:rsidRDefault="00B5288A" w:rsidP="00F64AE3">
            <w:pPr>
              <w:pStyle w:val="ListParagraph"/>
              <w:ind w:left="0"/>
            </w:pPr>
            <w:r>
              <w:t>19.3181</w:t>
            </w:r>
          </w:p>
        </w:tc>
        <w:tc>
          <w:tcPr>
            <w:tcW w:w="2046" w:type="dxa"/>
          </w:tcPr>
          <w:p w:rsidR="00B5288A" w:rsidRDefault="00B5288A" w:rsidP="00705880">
            <w:pPr>
              <w:pStyle w:val="ListParagraph"/>
              <w:tabs>
                <w:tab w:val="right" w:pos="1830"/>
              </w:tabs>
              <w:ind w:left="0"/>
            </w:pPr>
            <w:r>
              <w:t>56.2177</w:t>
            </w:r>
          </w:p>
        </w:tc>
      </w:tr>
    </w:tbl>
    <w:p w:rsidR="00F0525C" w:rsidRDefault="00F0525C" w:rsidP="00F64AE3">
      <w:pPr>
        <w:pStyle w:val="ListParagraph"/>
        <w:ind w:hanging="294"/>
      </w:pPr>
    </w:p>
    <w:p w:rsidR="00B5288A" w:rsidRDefault="00B5288A" w:rsidP="00F64AE3">
      <w:pPr>
        <w:pStyle w:val="ListParagraph"/>
        <w:ind w:hanging="294"/>
      </w:pPr>
      <w:r>
        <w:t>Income Statement</w:t>
      </w:r>
    </w:p>
    <w:p w:rsidR="00B5288A" w:rsidRDefault="00B5288A" w:rsidP="00F64AE3">
      <w:pPr>
        <w:pStyle w:val="ListParagraph"/>
        <w:ind w:hanging="294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0"/>
        <w:gridCol w:w="1954"/>
        <w:gridCol w:w="1955"/>
        <w:gridCol w:w="2016"/>
      </w:tblGrid>
      <w:tr w:rsidR="00B5288A" w:rsidTr="00F0525C">
        <w:trPr>
          <w:trHeight w:val="239"/>
        </w:trPr>
        <w:tc>
          <w:tcPr>
            <w:tcW w:w="2470" w:type="dxa"/>
          </w:tcPr>
          <w:p w:rsidR="00B5288A" w:rsidRDefault="00B5288A" w:rsidP="00F64AE3">
            <w:pPr>
              <w:pStyle w:val="ListParagraph"/>
              <w:ind w:left="0"/>
            </w:pP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2015</w:t>
            </w:r>
            <w:r w:rsidRPr="00EA1310">
              <w:rPr>
                <w:sz w:val="18"/>
                <w:szCs w:val="18"/>
              </w:rPr>
              <w:t>(% of total sales)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2016</w:t>
            </w:r>
            <w:r w:rsidRPr="00EA1310">
              <w:rPr>
                <w:sz w:val="18"/>
                <w:szCs w:val="18"/>
              </w:rPr>
              <w:t>(% of total sales)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2017</w:t>
            </w:r>
            <w:r w:rsidRPr="00EA1310">
              <w:rPr>
                <w:sz w:val="18"/>
                <w:szCs w:val="18"/>
              </w:rPr>
              <w:t>(% of total sales)</w:t>
            </w:r>
          </w:p>
        </w:tc>
      </w:tr>
      <w:tr w:rsidR="00B5288A" w:rsidTr="00F0525C">
        <w:trPr>
          <w:trHeight w:val="239"/>
        </w:trPr>
        <w:tc>
          <w:tcPr>
            <w:tcW w:w="2470" w:type="dxa"/>
          </w:tcPr>
          <w:p w:rsidR="00B5288A" w:rsidRDefault="00EA1310" w:rsidP="00F64AE3">
            <w:pPr>
              <w:pStyle w:val="ListParagraph"/>
              <w:ind w:left="0"/>
            </w:pPr>
            <w:r>
              <w:t>Cost of Goods Sold</w:t>
            </w: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83.4498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80.2139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83.4788</w:t>
            </w:r>
          </w:p>
        </w:tc>
      </w:tr>
      <w:tr w:rsidR="00B5288A" w:rsidTr="00F0525C">
        <w:trPr>
          <w:trHeight w:val="239"/>
        </w:trPr>
        <w:tc>
          <w:tcPr>
            <w:tcW w:w="2470" w:type="dxa"/>
          </w:tcPr>
          <w:p w:rsidR="00B5288A" w:rsidRDefault="00EA1310" w:rsidP="00F64AE3">
            <w:pPr>
              <w:pStyle w:val="ListParagraph"/>
              <w:ind w:left="0"/>
            </w:pPr>
            <w:r>
              <w:t>Other expenses</w:t>
            </w: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9.9068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12.3406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8.7122</w:t>
            </w:r>
          </w:p>
        </w:tc>
      </w:tr>
      <w:tr w:rsidR="00B5288A" w:rsidTr="00F0525C">
        <w:trPr>
          <w:trHeight w:val="250"/>
        </w:trPr>
        <w:tc>
          <w:tcPr>
            <w:tcW w:w="2470" w:type="dxa"/>
          </w:tcPr>
          <w:p w:rsidR="00B5288A" w:rsidRDefault="00EA1310" w:rsidP="00F64AE3">
            <w:pPr>
              <w:pStyle w:val="ListParagraph"/>
              <w:ind w:left="0"/>
            </w:pPr>
            <w:r>
              <w:t>Depreciation</w:t>
            </w: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0.5507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2.0046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1.7056</w:t>
            </w:r>
          </w:p>
        </w:tc>
      </w:tr>
      <w:tr w:rsidR="00B5288A" w:rsidTr="00F0525C">
        <w:trPr>
          <w:trHeight w:val="239"/>
        </w:trPr>
        <w:tc>
          <w:tcPr>
            <w:tcW w:w="2470" w:type="dxa"/>
          </w:tcPr>
          <w:p w:rsidR="00B5288A" w:rsidRDefault="00EA1310" w:rsidP="00F64AE3">
            <w:pPr>
              <w:pStyle w:val="ListParagraph"/>
              <w:ind w:left="0"/>
            </w:pPr>
            <w:r>
              <w:t>Total Operating Costs</w:t>
            </w: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93.9073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99.7010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92.8557</w:t>
            </w:r>
          </w:p>
        </w:tc>
      </w:tr>
      <w:tr w:rsidR="00B5288A" w:rsidTr="00F0525C">
        <w:trPr>
          <w:trHeight w:val="239"/>
        </w:trPr>
        <w:tc>
          <w:tcPr>
            <w:tcW w:w="2470" w:type="dxa"/>
          </w:tcPr>
          <w:p w:rsidR="00B5288A" w:rsidRDefault="00EA1310" w:rsidP="00F64AE3">
            <w:pPr>
              <w:pStyle w:val="ListParagraph"/>
              <w:ind w:left="0"/>
            </w:pPr>
            <w:r>
              <w:t>EBIT</w:t>
            </w: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6.0927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0.2989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7.1442</w:t>
            </w:r>
          </w:p>
        </w:tc>
      </w:tr>
      <w:tr w:rsidR="00B5288A" w:rsidTr="00F0525C">
        <w:trPr>
          <w:trHeight w:val="239"/>
        </w:trPr>
        <w:tc>
          <w:tcPr>
            <w:tcW w:w="2470" w:type="dxa"/>
          </w:tcPr>
          <w:p w:rsidR="00B5288A" w:rsidRDefault="00EA1310" w:rsidP="00F64AE3">
            <w:pPr>
              <w:pStyle w:val="ListParagraph"/>
              <w:ind w:left="0"/>
            </w:pPr>
            <w:r>
              <w:t>Interest Expense</w:t>
            </w: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1.8210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3.0165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1.1370</w:t>
            </w:r>
          </w:p>
        </w:tc>
      </w:tr>
      <w:tr w:rsidR="00B5288A" w:rsidTr="00F0525C">
        <w:trPr>
          <w:trHeight w:val="250"/>
        </w:trPr>
        <w:tc>
          <w:tcPr>
            <w:tcW w:w="2470" w:type="dxa"/>
          </w:tcPr>
          <w:p w:rsidR="00B5288A" w:rsidRDefault="00EA1310" w:rsidP="00F64AE3">
            <w:pPr>
              <w:pStyle w:val="ListParagraph"/>
              <w:ind w:left="0"/>
            </w:pPr>
            <w:r>
              <w:t>EBT</w:t>
            </w:r>
          </w:p>
        </w:tc>
        <w:tc>
          <w:tcPr>
            <w:tcW w:w="1954" w:type="dxa"/>
          </w:tcPr>
          <w:p w:rsidR="00B5288A" w:rsidRDefault="00EA1310" w:rsidP="00F64AE3">
            <w:pPr>
              <w:pStyle w:val="ListParagraph"/>
              <w:ind w:left="0"/>
            </w:pPr>
            <w:r>
              <w:t>4.2715</w:t>
            </w:r>
          </w:p>
        </w:tc>
        <w:tc>
          <w:tcPr>
            <w:tcW w:w="1955" w:type="dxa"/>
          </w:tcPr>
          <w:p w:rsidR="00B5288A" w:rsidRDefault="00EA1310" w:rsidP="00F64AE3">
            <w:pPr>
              <w:pStyle w:val="ListParagraph"/>
              <w:ind w:left="0"/>
            </w:pPr>
            <w:r>
              <w:t>(2.7176)</w:t>
            </w:r>
          </w:p>
        </w:tc>
        <w:tc>
          <w:tcPr>
            <w:tcW w:w="2016" w:type="dxa"/>
          </w:tcPr>
          <w:p w:rsidR="00B5288A" w:rsidRDefault="00EA1310" w:rsidP="00F64AE3">
            <w:pPr>
              <w:pStyle w:val="ListParagraph"/>
              <w:ind w:left="0"/>
            </w:pPr>
            <w:r>
              <w:t>6.0071</w:t>
            </w:r>
          </w:p>
        </w:tc>
      </w:tr>
      <w:tr w:rsidR="00EA1310" w:rsidTr="00F0525C">
        <w:trPr>
          <w:trHeight w:val="239"/>
        </w:trPr>
        <w:tc>
          <w:tcPr>
            <w:tcW w:w="2470" w:type="dxa"/>
          </w:tcPr>
          <w:p w:rsidR="00EA1310" w:rsidRDefault="00EA1310" w:rsidP="00F64AE3">
            <w:pPr>
              <w:pStyle w:val="ListParagraph"/>
              <w:ind w:left="0"/>
            </w:pPr>
            <w:r>
              <w:t>Taxes</w:t>
            </w:r>
          </w:p>
        </w:tc>
        <w:tc>
          <w:tcPr>
            <w:tcW w:w="1954" w:type="dxa"/>
          </w:tcPr>
          <w:p w:rsidR="00EA1310" w:rsidRDefault="00EA1310" w:rsidP="00F64AE3">
            <w:pPr>
              <w:pStyle w:val="ListParagraph"/>
              <w:ind w:left="0"/>
            </w:pPr>
            <w:r>
              <w:t>1.7086</w:t>
            </w:r>
          </w:p>
        </w:tc>
        <w:tc>
          <w:tcPr>
            <w:tcW w:w="1955" w:type="dxa"/>
          </w:tcPr>
          <w:p w:rsidR="00EA1310" w:rsidRDefault="00EA1310" w:rsidP="00F64AE3">
            <w:pPr>
              <w:pStyle w:val="ListParagraph"/>
              <w:ind w:left="0"/>
            </w:pPr>
            <w:r>
              <w:t>(1.0870)</w:t>
            </w:r>
          </w:p>
        </w:tc>
        <w:tc>
          <w:tcPr>
            <w:tcW w:w="2016" w:type="dxa"/>
          </w:tcPr>
          <w:p w:rsidR="00EA1310" w:rsidRDefault="00EA1310" w:rsidP="00F64AE3">
            <w:pPr>
              <w:pStyle w:val="ListParagraph"/>
              <w:ind w:left="0"/>
            </w:pPr>
            <w:r>
              <w:t>2.4028</w:t>
            </w:r>
          </w:p>
        </w:tc>
      </w:tr>
      <w:tr w:rsidR="00EA1310" w:rsidTr="00F0525C">
        <w:trPr>
          <w:trHeight w:val="239"/>
        </w:trPr>
        <w:tc>
          <w:tcPr>
            <w:tcW w:w="2470" w:type="dxa"/>
          </w:tcPr>
          <w:p w:rsidR="00EA1310" w:rsidRDefault="00EA1310" w:rsidP="00F64AE3">
            <w:pPr>
              <w:pStyle w:val="ListParagraph"/>
              <w:ind w:left="0"/>
            </w:pPr>
            <w:r>
              <w:t>Net Income</w:t>
            </w:r>
          </w:p>
        </w:tc>
        <w:tc>
          <w:tcPr>
            <w:tcW w:w="1954" w:type="dxa"/>
          </w:tcPr>
          <w:p w:rsidR="00EA1310" w:rsidRDefault="00EA1310" w:rsidP="00F64AE3">
            <w:pPr>
              <w:pStyle w:val="ListParagraph"/>
              <w:ind w:left="0"/>
            </w:pPr>
            <w:r>
              <w:t>2.5629</w:t>
            </w:r>
          </w:p>
        </w:tc>
        <w:tc>
          <w:tcPr>
            <w:tcW w:w="1955" w:type="dxa"/>
          </w:tcPr>
          <w:p w:rsidR="00EA1310" w:rsidRDefault="00EA1310" w:rsidP="00F64AE3">
            <w:pPr>
              <w:pStyle w:val="ListParagraph"/>
              <w:ind w:left="0"/>
            </w:pPr>
            <w:r>
              <w:t>(1.6306)</w:t>
            </w:r>
          </w:p>
        </w:tc>
        <w:tc>
          <w:tcPr>
            <w:tcW w:w="2016" w:type="dxa"/>
          </w:tcPr>
          <w:p w:rsidR="00EA1310" w:rsidRDefault="00EA1310" w:rsidP="00F64AE3">
            <w:pPr>
              <w:pStyle w:val="ListParagraph"/>
              <w:ind w:left="0"/>
            </w:pPr>
            <w:r>
              <w:t>3.6042</w:t>
            </w:r>
          </w:p>
        </w:tc>
      </w:tr>
      <w:tr w:rsidR="00F0525C" w:rsidTr="00F0525C">
        <w:trPr>
          <w:trHeight w:val="250"/>
        </w:trPr>
        <w:tc>
          <w:tcPr>
            <w:tcW w:w="2470" w:type="dxa"/>
          </w:tcPr>
          <w:p w:rsidR="00F0525C" w:rsidRDefault="00F0525C" w:rsidP="00F64AE3">
            <w:pPr>
              <w:pStyle w:val="ListParagraph"/>
              <w:ind w:left="0"/>
            </w:pPr>
          </w:p>
        </w:tc>
        <w:tc>
          <w:tcPr>
            <w:tcW w:w="1954" w:type="dxa"/>
          </w:tcPr>
          <w:p w:rsidR="00F0525C" w:rsidRDefault="00F0525C" w:rsidP="00F64AE3">
            <w:pPr>
              <w:pStyle w:val="ListParagraph"/>
              <w:ind w:left="0"/>
            </w:pPr>
          </w:p>
        </w:tc>
        <w:tc>
          <w:tcPr>
            <w:tcW w:w="1955" w:type="dxa"/>
          </w:tcPr>
          <w:p w:rsidR="00F0525C" w:rsidRDefault="00F0525C" w:rsidP="00F64AE3">
            <w:pPr>
              <w:pStyle w:val="ListParagraph"/>
              <w:ind w:left="0"/>
            </w:pPr>
          </w:p>
        </w:tc>
        <w:tc>
          <w:tcPr>
            <w:tcW w:w="2016" w:type="dxa"/>
          </w:tcPr>
          <w:p w:rsidR="00F0525C" w:rsidRDefault="00F0525C" w:rsidP="00F64AE3">
            <w:pPr>
              <w:pStyle w:val="ListParagraph"/>
              <w:ind w:left="0"/>
            </w:pPr>
          </w:p>
        </w:tc>
      </w:tr>
    </w:tbl>
    <w:p w:rsidR="00B03BED" w:rsidRDefault="00B03BED" w:rsidP="00B03BED">
      <w:pPr>
        <w:pStyle w:val="ListParagraph"/>
        <w:tabs>
          <w:tab w:val="left" w:pos="3644"/>
        </w:tabs>
        <w:ind w:left="1146" w:hanging="720"/>
      </w:pPr>
      <w:r>
        <w:t>H.</w:t>
      </w:r>
      <w:r w:rsidR="00355B36">
        <w:t xml:space="preserve"> </w:t>
      </w:r>
      <w:r>
        <w:t xml:space="preserve"> ROE=</w:t>
      </w:r>
      <w:r w:rsidR="00355B36">
        <w:t>Net Income/Share holders Equity=.</w:t>
      </w:r>
      <w:proofErr w:type="gramStart"/>
      <w:r w:rsidR="00355B36">
        <w:t>15085  0.14031</w:t>
      </w:r>
      <w:proofErr w:type="gramEnd"/>
    </w:p>
    <w:p w:rsidR="00355B36" w:rsidRDefault="00355B36" w:rsidP="00B03BED">
      <w:pPr>
        <w:pStyle w:val="ListParagraph"/>
        <w:tabs>
          <w:tab w:val="left" w:pos="3644"/>
        </w:tabs>
        <w:ind w:left="1146" w:hanging="720"/>
      </w:pPr>
      <w:r>
        <w:t xml:space="preserve">      Operating profit margin*</w:t>
      </w:r>
    </w:p>
    <w:p w:rsidR="00B03BED" w:rsidRDefault="00B03BED" w:rsidP="00B03BED">
      <w:pPr>
        <w:pStyle w:val="ListParagraph"/>
        <w:numPr>
          <w:ilvl w:val="0"/>
          <w:numId w:val="2"/>
        </w:numPr>
      </w:pPr>
      <w:r>
        <w:t>1.  If a firm operates as different strategic business units or different divisions, it is difficult to find out the industry averages.</w:t>
      </w:r>
    </w:p>
    <w:p w:rsidR="00B03BED" w:rsidRDefault="00B03BED" w:rsidP="00B03BED">
      <w:pPr>
        <w:pStyle w:val="ListParagraph"/>
        <w:ind w:left="1146"/>
      </w:pPr>
      <w:r>
        <w:t>2. The industry averages which are used as the bench mark values need not necessarily be indicators for good performance</w:t>
      </w:r>
    </w:p>
    <w:p w:rsidR="00B03BED" w:rsidRDefault="00B03BED" w:rsidP="00B03BED">
      <w:pPr>
        <w:pStyle w:val="ListParagraph"/>
        <w:ind w:left="1146"/>
      </w:pPr>
      <w:r>
        <w:t>3. Different accounting practices and accounting adjustments may not lead to apt analysis.</w:t>
      </w:r>
    </w:p>
    <w:p w:rsidR="00B03BED" w:rsidRDefault="00B03BED" w:rsidP="00B03BED">
      <w:pPr>
        <w:pStyle w:val="ListParagraph"/>
        <w:ind w:left="1146"/>
      </w:pPr>
      <w:r>
        <w:t>4. Sometimes, analyzing a ratio alone might be difficult to decide if it is good or bad.</w:t>
      </w:r>
    </w:p>
    <w:p w:rsidR="00355B36" w:rsidRDefault="00355B36" w:rsidP="00355B36">
      <w:pPr>
        <w:pStyle w:val="ListParagraph"/>
        <w:ind w:left="1146" w:hanging="437"/>
      </w:pPr>
      <w:r>
        <w:t xml:space="preserve">J. 1. Are the company’s revenues related to each of the </w:t>
      </w:r>
      <w:proofErr w:type="gramStart"/>
      <w:r>
        <w:t>customer</w:t>
      </w:r>
      <w:proofErr w:type="gramEnd"/>
    </w:p>
    <w:p w:rsidR="00355B36" w:rsidRDefault="00355B36" w:rsidP="00355B36">
      <w:pPr>
        <w:pStyle w:val="ListParagraph"/>
        <w:ind w:left="1146" w:hanging="437"/>
      </w:pPr>
      <w:r>
        <w:t xml:space="preserve">    2. To what extent are the company’s revenues related to each of the products</w:t>
      </w:r>
    </w:p>
    <w:p w:rsidR="00355B36" w:rsidRDefault="00355B36" w:rsidP="00355B36">
      <w:pPr>
        <w:pStyle w:val="ListParagraph"/>
        <w:ind w:left="1146" w:hanging="437"/>
      </w:pPr>
      <w:r>
        <w:t xml:space="preserve">    3. To what extent the company relies on single supplier</w:t>
      </w:r>
    </w:p>
    <w:p w:rsidR="00355B36" w:rsidRDefault="00355B36" w:rsidP="00355B36">
      <w:pPr>
        <w:pStyle w:val="ListParagraph"/>
        <w:ind w:left="1146" w:hanging="295"/>
      </w:pPr>
      <w:r>
        <w:t xml:space="preserve"> 4. % of business done overseas (global)</w:t>
      </w:r>
    </w:p>
    <w:p w:rsidR="00355B36" w:rsidRDefault="00355B36" w:rsidP="00355B36">
      <w:pPr>
        <w:pStyle w:val="ListParagraph"/>
        <w:ind w:left="1146" w:hanging="295"/>
      </w:pPr>
      <w:r>
        <w:t xml:space="preserve"> 5. Competitive advantage of the company</w:t>
      </w:r>
    </w:p>
    <w:p w:rsidR="00355B36" w:rsidRDefault="00355B36" w:rsidP="00355B36">
      <w:pPr>
        <w:pStyle w:val="ListParagraph"/>
        <w:ind w:left="1146" w:hanging="295"/>
      </w:pPr>
      <w:r>
        <w:t xml:space="preserve"> 6. </w:t>
      </w:r>
      <w:r w:rsidR="007775E9">
        <w:t>Legal and regulatory aspects of the firm</w:t>
      </w:r>
    </w:p>
    <w:p w:rsidR="00B03BED" w:rsidRDefault="00B03BED" w:rsidP="00B03BED">
      <w:pPr>
        <w:pStyle w:val="ListParagraph"/>
        <w:tabs>
          <w:tab w:val="left" w:pos="3644"/>
        </w:tabs>
        <w:ind w:left="1146" w:hanging="720"/>
      </w:pPr>
    </w:p>
    <w:p w:rsidR="00B03BED" w:rsidRDefault="00B03BED" w:rsidP="00B03BED">
      <w:pPr>
        <w:pStyle w:val="ListParagraph"/>
        <w:tabs>
          <w:tab w:val="left" w:pos="3644"/>
        </w:tabs>
        <w:ind w:left="1146"/>
      </w:pPr>
      <w:r>
        <w:tab/>
      </w:r>
    </w:p>
    <w:p w:rsidR="007E40E9" w:rsidRDefault="007E40E9" w:rsidP="007E40E9">
      <w:pPr>
        <w:ind w:left="720" w:hanging="294"/>
      </w:pPr>
      <w:r>
        <w:t xml:space="preserve">    </w:t>
      </w:r>
    </w:p>
    <w:sectPr w:rsidR="007E40E9" w:rsidSect="007F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6EC5"/>
    <w:multiLevelType w:val="hybridMultilevel"/>
    <w:tmpl w:val="C24A1BD0"/>
    <w:lvl w:ilvl="0" w:tplc="5F26AA3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43D20C4"/>
    <w:multiLevelType w:val="hybridMultilevel"/>
    <w:tmpl w:val="FE908F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21A"/>
    <w:rsid w:val="00027EF7"/>
    <w:rsid w:val="00176019"/>
    <w:rsid w:val="00355B36"/>
    <w:rsid w:val="0038521A"/>
    <w:rsid w:val="003E1725"/>
    <w:rsid w:val="00562954"/>
    <w:rsid w:val="005B278C"/>
    <w:rsid w:val="005B535A"/>
    <w:rsid w:val="00705880"/>
    <w:rsid w:val="007775E9"/>
    <w:rsid w:val="007E40E9"/>
    <w:rsid w:val="007F52F7"/>
    <w:rsid w:val="0086324E"/>
    <w:rsid w:val="00893431"/>
    <w:rsid w:val="00B03BED"/>
    <w:rsid w:val="00B5288A"/>
    <w:rsid w:val="00BE110A"/>
    <w:rsid w:val="00C313C5"/>
    <w:rsid w:val="00CA6CBE"/>
    <w:rsid w:val="00D07E76"/>
    <w:rsid w:val="00EA1310"/>
    <w:rsid w:val="00ED34EA"/>
    <w:rsid w:val="00F0525C"/>
    <w:rsid w:val="00F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F0DA"/>
  <w15:docId w15:val="{3DE7087B-097D-4315-BE1C-99EAD493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1A"/>
    <w:pPr>
      <w:ind w:left="720"/>
      <w:contextualSpacing/>
    </w:pPr>
  </w:style>
  <w:style w:type="table" w:styleId="TableGrid">
    <w:name w:val="Table Grid"/>
    <w:basedOn w:val="TableNormal"/>
    <w:uiPriority w:val="59"/>
    <w:rsid w:val="00CA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Ajay Kumar Makkapati</cp:lastModifiedBy>
  <cp:revision>5</cp:revision>
  <dcterms:created xsi:type="dcterms:W3CDTF">2017-09-26T17:43:00Z</dcterms:created>
  <dcterms:modified xsi:type="dcterms:W3CDTF">2017-10-07T08:52:00Z</dcterms:modified>
</cp:coreProperties>
</file>