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F07D4">
      <w:pPr>
        <w:jc w:val="center"/>
      </w:pPr>
      <w:r>
        <w:drawing>
          <wp:inline distT="0" distB="0" distL="0" distR="0">
            <wp:extent cx="59055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895350"/>
                    </a:xfrm>
                    <a:prstGeom prst="rect">
                      <a:avLst/>
                    </a:prstGeom>
                  </pic:spPr>
                </pic:pic>
              </a:graphicData>
            </a:graphic>
          </wp:inline>
        </w:drawing>
      </w:r>
    </w:p>
    <w:p w14:paraId="34AC1A58">
      <w:pPr>
        <w:pBdr>
          <w:bottom w:val="single" w:color="000000" w:sz="6" w:space="4"/>
        </w:pBdr>
        <w:jc w:val="center"/>
      </w:pPr>
    </w:p>
    <w:p w14:paraId="497B8300">
      <w:pPr>
        <w:jc w:val="center"/>
      </w:pPr>
      <w:r>
        <w:rPr>
          <w:b/>
          <w:bCs/>
          <w:sz w:val="28"/>
          <w:szCs w:val="28"/>
        </w:rPr>
        <w:t>DEPARTMENT OF CSE</w:t>
      </w:r>
    </w:p>
    <w:p w14:paraId="225D7975">
      <w:pPr>
        <w:jc w:val="center"/>
      </w:pPr>
      <w:r>
        <w:rPr>
          <w:b/>
          <w:bCs/>
          <w:sz w:val="28"/>
          <w:szCs w:val="28"/>
        </w:rPr>
        <w:t>PROJECT ABSTRACT SUBMISSION</w:t>
      </w:r>
    </w:p>
    <w:p w14:paraId="77094AE7">
      <w:pPr>
        <w:spacing w:after="200"/>
        <w:jc w:val="center"/>
      </w:pPr>
      <w:r>
        <w:rPr>
          <w:b/>
          <w:bCs/>
          <w:sz w:val="28"/>
          <w:szCs w:val="28"/>
        </w:rPr>
        <w:t>COURSE: 24CND3101 And CNAD                            A.Y. 2026 - 2027</w:t>
      </w:r>
    </w:p>
    <w:tbl>
      <w:tblPr>
        <w:tblStyle w:val="9"/>
        <w:tblW w:w="9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8"/>
        <w:gridCol w:w="2977"/>
        <w:gridCol w:w="5528"/>
      </w:tblGrid>
      <w:tr w14:paraId="1BCD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8" w:type="dxa"/>
            <w:vAlign w:val="center"/>
          </w:tcPr>
          <w:p w14:paraId="3A8B721C">
            <w:pPr>
              <w:jc w:val="center"/>
            </w:pPr>
            <w:r>
              <w:rPr>
                <w:b/>
                <w:bCs/>
                <w:sz w:val="24"/>
                <w:szCs w:val="24"/>
              </w:rPr>
              <w:t>TITLE OF THE PROJECT</w:t>
            </w:r>
          </w:p>
        </w:tc>
        <w:tc>
          <w:tcPr>
            <w:tcW w:w="8505" w:type="dxa"/>
            <w:gridSpan w:val="2"/>
            <w:vAlign w:val="center"/>
          </w:tcPr>
          <w:p w14:paraId="12A56F1F">
            <w:pPr>
              <w:jc w:val="center"/>
            </w:pPr>
            <w:r>
              <w:rPr>
                <w:b/>
                <w:bCs/>
                <w:sz w:val="24"/>
                <w:szCs w:val="24"/>
              </w:rPr>
              <w:t>Clean Sync – Smart Waste Management and Collection Platform</w:t>
            </w:r>
          </w:p>
          <w:p w14:paraId="6FA4AEA8"/>
        </w:tc>
      </w:tr>
      <w:tr w14:paraId="6944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8" w:type="dxa"/>
            <w:vAlign w:val="center"/>
          </w:tcPr>
          <w:p w14:paraId="30A70F15">
            <w:pPr>
              <w:jc w:val="center"/>
            </w:pPr>
            <w:r>
              <w:rPr>
                <w:b/>
                <w:bCs/>
                <w:sz w:val="24"/>
                <w:szCs w:val="24"/>
              </w:rPr>
              <w:t>S. No.</w:t>
            </w:r>
          </w:p>
        </w:tc>
        <w:tc>
          <w:tcPr>
            <w:tcW w:w="2977" w:type="dxa"/>
            <w:vAlign w:val="center"/>
          </w:tcPr>
          <w:p w14:paraId="13FA5613">
            <w:pPr>
              <w:jc w:val="center"/>
            </w:pPr>
            <w:r>
              <w:rPr>
                <w:b/>
                <w:bCs/>
                <w:sz w:val="24"/>
                <w:szCs w:val="24"/>
              </w:rPr>
              <w:t>University ID</w:t>
            </w:r>
          </w:p>
        </w:tc>
        <w:tc>
          <w:tcPr>
            <w:tcW w:w="5528" w:type="dxa"/>
            <w:vAlign w:val="center"/>
          </w:tcPr>
          <w:p w14:paraId="05C4C849">
            <w:pPr>
              <w:jc w:val="center"/>
            </w:pPr>
            <w:r>
              <w:rPr>
                <w:b/>
                <w:bCs/>
                <w:sz w:val="24"/>
                <w:szCs w:val="24"/>
              </w:rPr>
              <w:t>Name</w:t>
            </w:r>
          </w:p>
        </w:tc>
      </w:tr>
      <w:tr w14:paraId="7CE9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8" w:type="dxa"/>
            <w:vAlign w:val="center"/>
          </w:tcPr>
          <w:p w14:paraId="7A6C7B18">
            <w:pPr>
              <w:jc w:val="center"/>
            </w:pPr>
            <w:r>
              <w:rPr>
                <w:b/>
                <w:bCs/>
                <w:sz w:val="24"/>
                <w:szCs w:val="24"/>
              </w:rPr>
              <w:t>1</w:t>
            </w:r>
          </w:p>
        </w:tc>
        <w:tc>
          <w:tcPr>
            <w:tcW w:w="2977" w:type="dxa"/>
            <w:vAlign w:val="center"/>
          </w:tcPr>
          <w:p w14:paraId="2EBB31D2">
            <w:pPr>
              <w:jc w:val="center"/>
            </w:pPr>
            <w:r>
              <w:t>2420030293</w:t>
            </w:r>
          </w:p>
        </w:tc>
        <w:tc>
          <w:tcPr>
            <w:tcW w:w="5528" w:type="dxa"/>
            <w:vAlign w:val="center"/>
          </w:tcPr>
          <w:p w14:paraId="5E73008E">
            <w:pPr>
              <w:jc w:val="center"/>
            </w:pPr>
            <w:r>
              <w:t>B Sumanth Chowdary</w:t>
            </w:r>
          </w:p>
        </w:tc>
      </w:tr>
      <w:tr w14:paraId="6D85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8" w:type="dxa"/>
            <w:vAlign w:val="center"/>
          </w:tcPr>
          <w:p w14:paraId="1A999765">
            <w:pPr>
              <w:jc w:val="center"/>
            </w:pPr>
            <w:r>
              <w:rPr>
                <w:b/>
                <w:bCs/>
                <w:sz w:val="24"/>
                <w:szCs w:val="24"/>
              </w:rPr>
              <w:t>2</w:t>
            </w:r>
          </w:p>
        </w:tc>
        <w:tc>
          <w:tcPr>
            <w:tcW w:w="2977" w:type="dxa"/>
            <w:vAlign w:val="center"/>
          </w:tcPr>
          <w:p w14:paraId="1151CC98">
            <w:pPr>
              <w:jc w:val="center"/>
            </w:pPr>
            <w:r>
              <w:t>2420030294</w:t>
            </w:r>
          </w:p>
        </w:tc>
        <w:tc>
          <w:tcPr>
            <w:tcW w:w="5528" w:type="dxa"/>
            <w:vAlign w:val="center"/>
          </w:tcPr>
          <w:p w14:paraId="0A22A0F7">
            <w:pPr>
              <w:jc w:val="center"/>
            </w:pPr>
            <w:r>
              <w:t>B Abhishek</w:t>
            </w:r>
          </w:p>
        </w:tc>
      </w:tr>
      <w:tr w14:paraId="604E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8" w:type="dxa"/>
            <w:vAlign w:val="center"/>
          </w:tcPr>
          <w:p w14:paraId="40BAF3A7">
            <w:pPr>
              <w:jc w:val="center"/>
            </w:pPr>
            <w:r>
              <w:rPr>
                <w:b/>
                <w:bCs/>
                <w:sz w:val="24"/>
                <w:szCs w:val="24"/>
              </w:rPr>
              <w:t>3</w:t>
            </w:r>
          </w:p>
        </w:tc>
        <w:tc>
          <w:tcPr>
            <w:tcW w:w="2977" w:type="dxa"/>
            <w:vAlign w:val="center"/>
          </w:tcPr>
          <w:p w14:paraId="5F222901">
            <w:pPr>
              <w:jc w:val="center"/>
            </w:pPr>
            <w:r>
              <w:t>2420090017</w:t>
            </w:r>
          </w:p>
        </w:tc>
        <w:tc>
          <w:tcPr>
            <w:tcW w:w="5528" w:type="dxa"/>
            <w:vAlign w:val="center"/>
          </w:tcPr>
          <w:p w14:paraId="3C8BF550">
            <w:pPr>
              <w:jc w:val="center"/>
              <w:rPr>
                <w:rFonts w:hint="default"/>
                <w:lang w:val="en-US"/>
              </w:rPr>
            </w:pPr>
            <w:r>
              <w:t>M Nitin Teja</w:t>
            </w:r>
            <w:r>
              <w:rPr>
                <w:rFonts w:hint="default"/>
                <w:lang w:val="en-US"/>
              </w:rPr>
              <w:t xml:space="preserve"> Sai</w:t>
            </w:r>
            <w:bookmarkStart w:id="0" w:name="_GoBack"/>
            <w:bookmarkEnd w:id="0"/>
          </w:p>
        </w:tc>
      </w:tr>
      <w:tr w14:paraId="726B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8" w:type="dxa"/>
            <w:vAlign w:val="center"/>
          </w:tcPr>
          <w:p w14:paraId="4AD1D532">
            <w:pPr>
              <w:jc w:val="center"/>
            </w:pPr>
            <w:r>
              <w:rPr>
                <w:b/>
                <w:bCs/>
                <w:sz w:val="24"/>
                <w:szCs w:val="24"/>
              </w:rPr>
              <w:t>4</w:t>
            </w:r>
          </w:p>
        </w:tc>
        <w:tc>
          <w:tcPr>
            <w:tcW w:w="2977" w:type="dxa"/>
            <w:vAlign w:val="center"/>
          </w:tcPr>
          <w:p w14:paraId="6EECB135">
            <w:pPr>
              <w:jc w:val="center"/>
            </w:pPr>
          </w:p>
        </w:tc>
        <w:tc>
          <w:tcPr>
            <w:tcW w:w="5528" w:type="dxa"/>
            <w:vAlign w:val="center"/>
          </w:tcPr>
          <w:p w14:paraId="09573A7D">
            <w:pPr>
              <w:jc w:val="center"/>
            </w:pPr>
          </w:p>
        </w:tc>
      </w:tr>
      <w:tr w14:paraId="0321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58" w:type="dxa"/>
            <w:vAlign w:val="center"/>
          </w:tcPr>
          <w:p w14:paraId="222DCB47">
            <w:pPr>
              <w:jc w:val="center"/>
            </w:pPr>
            <w:r>
              <w:rPr>
                <w:b/>
                <w:bCs/>
                <w:sz w:val="24"/>
                <w:szCs w:val="24"/>
              </w:rPr>
              <w:t>Name of the Guide</w:t>
            </w:r>
          </w:p>
        </w:tc>
        <w:tc>
          <w:tcPr>
            <w:tcW w:w="8505" w:type="dxa"/>
            <w:gridSpan w:val="2"/>
            <w:vAlign w:val="center"/>
          </w:tcPr>
          <w:p w14:paraId="51DC1512">
            <w:r>
              <w:t xml:space="preserve">Ms. V Vinisha </w:t>
            </w:r>
          </w:p>
        </w:tc>
      </w:tr>
    </w:tbl>
    <w:p w14:paraId="2A275BCD">
      <w:pPr>
        <w:spacing w:before="200" w:after="100"/>
      </w:pPr>
      <w:r>
        <w:rPr>
          <w:b/>
          <w:bCs/>
          <w:sz w:val="28"/>
          <w:szCs w:val="28"/>
        </w:rPr>
        <w:t>Abstract:</w:t>
      </w:r>
    </w:p>
    <w:p w14:paraId="42F98FB5">
      <w:pPr>
        <w:spacing w:after="200"/>
      </w:pPr>
      <w:r>
        <w:rPr>
          <w:b/>
          <w:bCs/>
          <w:sz w:val="24"/>
          <w:szCs w:val="24"/>
        </w:rPr>
        <w:t xml:space="preserve">Rapid urbanization and population growth </w:t>
      </w:r>
      <w:r>
        <w:rPr>
          <w:sz w:val="24"/>
          <w:szCs w:val="24"/>
        </w:rPr>
        <w:t>have made municipal solid-waste management one of the most pressing challenges facing cities today. Conventional waste collection relies on fixed schedules and manually planned routes, regardless of whether a bin is full, half-empty, or overflowing. This leads to unnecessary fuel consumption and carbon emissions, frequent overflow complaints in high-traffic zones, wasted trips to bins that do not need servicing, and little real-time visibility for sanitation departments trying to plan efficient operations. As cities scale, these inefficiencies compound, driving up operational costs and reducing citizen satisfaction with civic services.</w:t>
      </w:r>
    </w:p>
    <w:p w14:paraId="7B0AE120">
      <w:pPr>
        <w:spacing w:after="200"/>
      </w:pPr>
      <w:r>
        <w:rPr>
          <w:b/>
          <w:bCs/>
          <w:sz w:val="24"/>
          <w:szCs w:val="24"/>
        </w:rPr>
        <w:t xml:space="preserve">To address this need, </w:t>
      </w:r>
      <w:r>
        <w:rPr>
          <w:sz w:val="24"/>
          <w:szCs w:val="24"/>
        </w:rPr>
        <w:t>the Clean Sync platform proposes an IoT-enabled, cloud-connected smart waste management and collection system that unifies sensor-equipped bins, real-time data processing, intelligent route optimization, and citizen engagement into a single integrated solution for municipal sanitation departments.</w:t>
      </w:r>
    </w:p>
    <w:p w14:paraId="6B6B88AD">
      <w:pPr>
        <w:spacing w:after="200"/>
      </w:pPr>
      <w:r>
        <w:rPr>
          <w:b/>
          <w:bCs/>
          <w:sz w:val="24"/>
          <w:szCs w:val="24"/>
        </w:rPr>
        <w:t xml:space="preserve">The first module </w:t>
      </w:r>
      <w:r>
        <w:rPr>
          <w:sz w:val="24"/>
          <w:szCs w:val="24"/>
        </w:rPr>
        <w:t>equips public waste bins with ultrasonic fill-level sensors, GPS modules, and low-power connectivity hardware. Each bin continuously streams fill percentage, location, and waste-category data to a cloud ingestion layer built on a microservices architecture, giving sanitation teams a live, city-wide view of bin status instead of relying on fixed inspection rounds.</w:t>
      </w:r>
    </w:p>
    <w:p w14:paraId="17673F06">
      <w:pPr>
        <w:spacing w:after="200"/>
      </w:pPr>
      <w:r>
        <w:rPr>
          <w:b/>
          <w:bCs/>
          <w:sz w:val="24"/>
          <w:szCs w:val="24"/>
        </w:rPr>
        <w:t xml:space="preserve">The second module, </w:t>
      </w:r>
      <w:r>
        <w:rPr>
          <w:sz w:val="24"/>
          <w:szCs w:val="24"/>
        </w:rPr>
        <w:t>the Route Optimization Engine, consumes this live fill-level data and dynamically generates the shortest, most fuel-efficient collection routes for each vehicle, prioritizing bins nearing capacity while skipping those that do not yet require servicing. By recalculating routes as conditions change, the engine keeps collection effort proportional to actual demand rather than a static calendar.</w:t>
      </w:r>
    </w:p>
    <w:p w14:paraId="6EE98B7D">
      <w:pPr>
        <w:spacing w:after="200"/>
      </w:pPr>
      <w:r>
        <w:rPr>
          <w:b/>
          <w:bCs/>
          <w:sz w:val="24"/>
          <w:szCs w:val="24"/>
        </w:rPr>
        <w:t xml:space="preserve">The third module </w:t>
      </w:r>
      <w:r>
        <w:rPr>
          <w:sz w:val="24"/>
          <w:szCs w:val="24"/>
        </w:rPr>
        <w:t>tracks the collection fleet via GPS and pushes optimized routes directly to drivers, while a citizen-facing mobile application lets residents view collection schedules, receive fill-alert notifications, and report missed pickups or illegal dumping directly to the sanitation authority — closing the feedback loop between citizens and the municipality.</w:t>
      </w:r>
    </w:p>
    <w:p w14:paraId="1099311A">
      <w:pPr>
        <w:spacing w:after="200"/>
      </w:pPr>
      <w:r>
        <w:rPr>
          <w:b/>
          <w:bCs/>
          <w:sz w:val="24"/>
          <w:szCs w:val="24"/>
        </w:rPr>
        <w:t xml:space="preserve">The fourth module </w:t>
      </w:r>
      <w:r>
        <w:rPr>
          <w:sz w:val="24"/>
          <w:szCs w:val="24"/>
        </w:rPr>
        <w:t>is an administrative web dashboard that gives municipal staff a consolidated view of bin status, fleet movement, and collection history, alongside a predictive analytics layer that forecasts waste-generation trends using historical data, enabling proactive planning of routes, staffing, and bin placement rather than reactive firefighting.</w:t>
      </w:r>
    </w:p>
    <w:p w14:paraId="5FFD5B21">
      <w:pPr>
        <w:spacing w:after="200"/>
      </w:pPr>
      <w:r>
        <w:rPr>
          <w:b/>
          <w:bCs/>
          <w:sz w:val="24"/>
          <w:szCs w:val="24"/>
        </w:rPr>
        <w:t xml:space="preserve">Collectively, </w:t>
      </w:r>
      <w:r>
        <w:rPr>
          <w:sz w:val="24"/>
          <w:szCs w:val="24"/>
        </w:rPr>
        <w:t>these modules position Clean Sync as an end-to-end solution that reduces unnecessary collection trips and fuel usage, prevents bin overflow, improves transparency between citizens and civic authorities, and equips municipalities with the data needed to plan a cleaner, more sustainable, and more cost-effective waste management operation.</w:t>
      </w:r>
    </w:p>
    <w:p w14:paraId="159DF308">
      <w:pPr>
        <w:spacing w:before="200" w:after="100"/>
      </w:pPr>
      <w:r>
        <w:rPr>
          <w:b/>
          <w:bCs/>
          <w:sz w:val="28"/>
          <w:szCs w:val="28"/>
        </w:rPr>
        <w:t>Project Architecture/Project Overview:</w:t>
      </w:r>
    </w:p>
    <w:p w14:paraId="67813EEA">
      <w:pPr>
        <w:jc w:val="center"/>
      </w:pPr>
      <w:r>
        <w:drawing>
          <wp:inline distT="0" distB="0" distL="0" distR="0">
            <wp:extent cx="6000750" cy="2895600"/>
            <wp:effectExtent l="0" t="0" r="0" b="0"/>
            <wp:docPr id="1750270424" name="Picture 175027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70424" name="Picture 1750270424"/>
                    <pic:cNvPicPr>
                      <a:picLocks noChangeAspect="1" noChangeArrowheads="1"/>
                    </pic:cNvPicPr>
                  </pic:nvPicPr>
                  <pic:blipFill>
                    <a:blip r:embed="rId5"/>
                    <a:srcRect/>
                    <a:stretch>
                      <a:fillRect/>
                    </a:stretch>
                  </pic:blipFill>
                  <pic:spPr>
                    <a:xfrm>
                      <a:off x="0" y="0"/>
                      <a:ext cx="6000750" cy="2895600"/>
                    </a:xfrm>
                    <a:prstGeom prst="rect">
                      <a:avLst/>
                    </a:prstGeom>
                  </pic:spPr>
                </pic:pic>
              </a:graphicData>
            </a:graphic>
          </wp:inline>
        </w:drawing>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D39"/>
    <w:rsid w:val="003033B8"/>
    <w:rsid w:val="00731643"/>
    <w:rsid w:val="008B1A17"/>
    <w:rsid w:val="00A74D39"/>
    <w:rsid w:val="00DD0352"/>
    <w:rsid w:val="00DF615A"/>
    <w:rsid w:val="00F96FD7"/>
    <w:rsid w:val="782861A2"/>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te-IN"/>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te-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te-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te-IN"/>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te-IN"/>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te-IN"/>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te-IN"/>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lang w:val="en-US" w:eastAsia="en-US" w:bidi="te-IN"/>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US" w:eastAsia="en-US" w:bidi="te-IN"/>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te-IN"/>
    </w:rPr>
  </w:style>
  <w:style w:type="paragraph" w:customStyle="1" w:styleId="16">
    <w:name w:val="Strong1"/>
    <w:qFormat/>
    <w:uiPriority w:val="0"/>
    <w:rPr>
      <w:rFonts w:ascii="Times New Roman" w:hAnsi="Times New Roman" w:eastAsia="Times New Roman" w:cs="Times New Roman"/>
      <w:b/>
      <w:bCs/>
      <w:lang w:val="en-US" w:eastAsia="en-US" w:bidi="te-IN"/>
    </w:rPr>
  </w:style>
  <w:style w:type="paragraph" w:styleId="17">
    <w:name w:val="List Paragraph"/>
    <w:qFormat/>
    <w:uiPriority w:val="0"/>
    <w:rPr>
      <w:rFonts w:ascii="Times New Roman" w:hAnsi="Times New Roman" w:eastAsia="Times New Roman" w:cs="Times New Roman"/>
      <w:lang w:val="en-US" w:eastAsia="en-US" w:bidi="te-IN"/>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490</Words>
  <Characters>2799</Characters>
  <Lines>23</Lines>
  <Paragraphs>6</Paragraphs>
  <TotalTime>4</TotalTime>
  <ScaleCrop>false</ScaleCrop>
  <LinksUpToDate>false</LinksUpToDate>
  <CharactersWithSpaces>3283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2026-08-19T03:09:00Z</dcterms:created>
  <dc:creator>Un-named</dc:creator>
  <cp:lastModifiedBy>Abhishek Borra</cp:lastModifiedBy>
  <dcterms:modified xsi:type="dcterms:W3CDTF">2026-09-02T03:53:13Z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DBD3240810C84F428738AC0B1AC67754_12</vt:lpwstr>
  </property>
</Properties>
</file>