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2C5F8A"/>
          <w:sz w:val="56"/>
          <w:szCs w:val="56"/>
        </w:rPr>
        <w:t xml:space="preserve">ASPIRE Reproduction Project</w:t>
      </w:r>
    </w:p>
    <w:p>
      <w:pPr>
        <w:spacing w:after="400"/>
        <w:jc w:val="center"/>
      </w:pPr>
      <w:r>
        <w:rPr>
          <w:sz w:val="30"/>
          <w:szCs w:val="30"/>
        </w:rPr>
        <w:t xml:space="preserve">An Agentic Decision System for Early Equipment Failure
Prediction and Intervention in Industrial IIoT</w:t>
      </w:r>
    </w:p>
    <w:p>
      <w:pPr>
        <w:spacing w:after="100"/>
        <w:jc w:val="center"/>
      </w:pPr>
      <w:r>
        <w:rPr>
          <w:i/>
          <w:iCs/>
          <w:sz w:val="24"/>
          <w:szCs w:val="24"/>
        </w:rPr>
        <w:t xml:space="preserve">End-to-End Rebuild Plan, Architecture Explainer, and Reference Implementation</w:t>
      </w:r>
    </w:p>
    <w:p>
      <w:pPr>
        <w:spacing w:after="60" w:before="600"/>
        <w:jc w:val="center"/>
      </w:pPr>
      <w:r>
        <w:rPr>
          <w:b/>
          <w:bCs/>
          <w:sz w:val="20"/>
          <w:szCs w:val="20"/>
        </w:rPr>
        <w:t xml:space="preserve">Source paper:</w:t>
      </w:r>
    </w:p>
    <w:p>
      <w:pPr>
        <w:spacing w:after="20"/>
        <w:jc w:val="center"/>
      </w:pPr>
      <w:r>
        <w:rPr>
          <w:sz w:val="20"/>
          <w:szCs w:val="20"/>
        </w:rPr>
        <w:t xml:space="preserve">S. Guha and A. Datta, "ASPIRE: An Agentic Decision System for Early Equipment Failure Prediction and Intervention in Industrial IIoT,"</w:t>
      </w:r>
    </w:p>
    <w:p>
      <w:pPr>
        <w:spacing w:after="20"/>
        <w:jc w:val="center"/>
      </w:pPr>
      <w:r>
        <w:rPr>
          <w:sz w:val="20"/>
          <w:szCs w:val="20"/>
        </w:rPr>
        <w:t xml:space="preserve">IEEE Access, vol. 14, pp. 105006–105031, 2026.</w:t>
      </w:r>
    </w:p>
    <w:p>
      <w:pPr>
        <w:spacing w:after="20"/>
        <w:jc w:val="center"/>
      </w:pPr>
      <w:r>
        <w:rPr>
          <w:sz w:val="20"/>
          <w:szCs w:val="20"/>
        </w:rPr>
        <w:t xml:space="preserve">DOI: 10.1109/ACCESS.2026.3711010  ·  Open Access, CC BY 4.0</w:t>
      </w:r>
    </w:p>
    <w:p>
      <w:pPr>
        <w:spacing w:after="400"/>
        <w:jc w:val="center"/>
      </w:pPr>
      <w:r>
        <w:rPr>
          <w:color w:val="666666"/>
          <w:sz w:val="18"/>
          <w:szCs w:val="18"/>
        </w:rPr>
        <w:t xml:space="preserve">Received 3 Jun 2026 · Accepted 3 Jul 2026 · Published 7 Jul 2026</w:t>
      </w:r>
    </w:p>
    <w:p>
      <w:r>
        <w:br w:type="page"/>
      </w:r>
    </w:p>
    <w:p>
      <w:pPr>
        <w:pStyle w:val="Heading1"/>
        <w:spacing w:after="150" w:before="300"/>
      </w:pPr>
      <w:r>
        <w:t xml:space="preserve">0. Integrity &amp; Citation Notice — Read First</w:t>
      </w:r>
    </w:p>
    <w:p>
      <w:pPr>
        <w:spacing w:after="120"/>
      </w:pPr>
      <w:r>
        <w:rPr>
          <w:b/>
          <w:bCs/>
        </w:rPr>
        <w:t xml:space="preserve">This document was produced by an AI assistant (Claude) using the actual IEEE Access PDF supplied by the user </w:t>
      </w:r>
      <w:r>
        <w:t xml:space="preserve">as its only source for ASPIRE-specific facts. Every architectural detail, formula, hyperparameter, and metric below that is attributed to the paper was transcribed from that PDF, not recalled from memory or invented.</w:t>
      </w:r>
    </w:p>
    <w:p>
      <w:pPr>
        <w:spacing w:after="120"/>
      </w:pPr>
      <w:r>
        <w:t xml:space="preserve">Nonetheless, three categories of claim appear in this document and are colour/label-coded throughout so you can cite them correctly in your own submission: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9EAD3" w:val="clear"/>
            <w:tcMar>
              <w:top w:type="dxa" w:w="60"/>
              <w:left w:type="dxa" w:w="80"/>
              <w:bottom w:type="dxa" w:w="60"/>
              <w:right w:type="dxa" w:w="80"/>
            </w:tcMar>
          </w:tcPr>
          <w:p>
            <w:r>
              <w:rPr>
                <w:b/>
                <w:bCs/>
                <w:sz w:val="20"/>
                <w:szCs w:val="20"/>
              </w:rPr>
              <w:t xml:space="preserve">PAPER-REPORTED</w:t>
            </w:r>
          </w:p>
        </w:tc>
        <w:tc>
          <w:tcPr>
            <w:tcW w:type="dxa" w:w="7150"/>
            <w:tcMar>
              <w:top w:type="dxa" w:w="60"/>
              <w:left w:type="dxa" w:w="80"/>
              <w:bottom w:type="dxa" w:w="60"/>
              <w:right w:type="dxa" w:w="80"/>
            </w:tcMar>
          </w:tcPr>
          <w:p>
            <w:r>
              <w:rPr>
                <w:b w:val="false"/>
                <w:bCs w:val="false"/>
                <w:sz w:val="20"/>
                <w:szCs w:val="20"/>
              </w:rPr>
              <w:t xml:space="preserve">A number, formula, or design choice copied directly from the paper's text, tables, or figures. Safe to cite as “Guha &amp; Datta (2026) report...”</w:t>
            </w:r>
          </w:p>
        </w:tc>
      </w:tr>
      <w:tr>
        <w:tc>
          <w:tcPr>
            <w:tcW w:type="dxa" w:w="2200"/>
            <w:shd w:fill="FFF2CC" w:val="clear"/>
            <w:tcMar>
              <w:top w:type="dxa" w:w="60"/>
              <w:left w:type="dxa" w:w="80"/>
              <w:bottom w:type="dxa" w:w="60"/>
              <w:right w:type="dxa" w:w="80"/>
            </w:tcMar>
          </w:tcPr>
          <w:p>
            <w:r>
              <w:rPr>
                <w:b/>
                <w:bCs/>
                <w:sz w:val="20"/>
                <w:szCs w:val="20"/>
              </w:rPr>
              <w:t xml:space="preserve">REPRODUCTION (THIS RUN)</w:t>
            </w:r>
          </w:p>
        </w:tc>
        <w:tc>
          <w:tcPr>
            <w:tcW w:type="dxa" w:w="7150"/>
            <w:tcMar>
              <w:top w:type="dxa" w:w="60"/>
              <w:left w:type="dxa" w:w="80"/>
              <w:bottom w:type="dxa" w:w="60"/>
              <w:right w:type="dxa" w:w="80"/>
            </w:tcMar>
          </w:tcPr>
          <w:p>
            <w:r>
              <w:rPr>
                <w:b w:val="false"/>
                <w:bCs w:val="false"/>
                <w:sz w:val="20"/>
                <w:szCs w:val="20"/>
              </w:rPr>
              <w:t xml:space="preserve">A number you will generate by actually running the code in this package. Will differ from the paper — report it as your own reproduction, not the paper's result.</w:t>
            </w:r>
          </w:p>
        </w:tc>
      </w:tr>
      <w:tr>
        <w:tc>
          <w:tcPr>
            <w:tcW w:type="dxa" w:w="2200"/>
            <w:shd w:fill="F4CCCC" w:val="clear"/>
            <w:tcMar>
              <w:top w:type="dxa" w:w="60"/>
              <w:left w:type="dxa" w:w="80"/>
              <w:bottom w:type="dxa" w:w="60"/>
              <w:right w:type="dxa" w:w="80"/>
            </w:tcMar>
          </w:tcPr>
          <w:p>
            <w:r>
              <w:rPr>
                <w:b/>
                <w:bCs/>
                <w:sz w:val="20"/>
                <w:szCs w:val="20"/>
              </w:rPr>
              <w:t xml:space="preserve">ENGINEERING FILL-IN</w:t>
            </w:r>
          </w:p>
        </w:tc>
        <w:tc>
          <w:tcPr>
            <w:tcW w:type="dxa" w:w="7150"/>
            <w:tcMar>
              <w:top w:type="dxa" w:w="60"/>
              <w:left w:type="dxa" w:w="80"/>
              <w:bottom w:type="dxa" w:w="60"/>
              <w:right w:type="dxa" w:w="80"/>
            </w:tcMar>
          </w:tcPr>
          <w:p>
            <w:r>
              <w:rPr>
                <w:b w:val="false"/>
                <w:bCs w:val="false"/>
                <w:sz w:val="20"/>
                <w:szCs w:val="20"/>
              </w:rPr>
              <w:t xml:space="preserve">A detail the paper does not fully specify (e.g., exact α/β weight values beyond Table 3, GDRNet's exact training target). Filled in with a documented, defensible default — you should calibrate it yourself and say so.</w:t>
            </w:r>
          </w:p>
        </w:tc>
      </w:tr>
    </w:tbl>
    <w:p>
      <w:pPr>
        <w:spacing w:after="120"/>
      </w:pPr>
      <w:r>
        <w:t xml:space="preserve"/>
      </w:r>
    </w:p>
    <w:p>
      <w:pPr>
        <w:spacing w:after="120"/>
      </w:pPr>
      <w:r>
        <w:rPr>
          <w:b/>
          <w:bCs/>
        </w:rPr>
        <w:t xml:space="preserve">Do not present REPRODUCTION or ENGINEERING FILL-IN values as the paper's own results in your submission. </w:t>
      </w:r>
      <w:r>
        <w:t xml:space="preserve">Misattributing your own numbers (or an AI-invented number) to a published paper is a citation integrity issue, and this document is built specifically to prevent that.</w:t>
      </w:r>
    </w:p>
    <w:p>
      <w:pPr>
        <w:pStyle w:val="Heading1"/>
        <w:spacing w:after="150" w:before="300"/>
      </w:pPr>
      <w:r>
        <w:t xml:space="preserve">1. Executive Summary</w:t>
      </w:r>
    </w:p>
    <w:p>
      <w:pPr>
        <w:spacing w:after="120"/>
      </w:pPr>
      <w:r>
        <w:t xml:space="preserve">ASPIRE reframes early industrial fault prediction from a purely predictive modelling problem into a decision-making problem under uncertainty. Instead of directly equating a classifier's most probable class with an alert (the dominant “model-centric” approach), ASPIRE wraps a frozen Transformer classifier inside a deterministic, auditable Decision Agent that also consumes sensor-level anomaly/drift evidence and window-level temporal-context evidence before committing to a warning or failure alert.</w:t>
      </w:r>
    </w:p>
    <w:p>
      <w:pPr>
        <w:spacing w:after="120"/>
      </w:pPr>
      <w:r>
        <w:t xml:space="preserve">On the MetroPT-3 real-world compressor dataset, this decision layer improved two-hour-ahead early-warning precision from 0.875 to 0.889, recall from 0.941 to 0.953, and F1 from 0.906 to 0.920 over the Transformer baseline, while leaving fault-detection performance completely unchanged — all without retraining the underlying model. The gains are shown (via ablation) to come from two independent, named mechanisms: margin-based gating (precision) and context-supported near-miss recovery (recall).</w:t>
      </w:r>
    </w:p>
    <w:p>
      <w:pPr>
        <w:spacing w:after="120"/>
      </w:pPr>
      <w:r>
        <w:t xml:space="preserve">This document gives you: (1) the full architecture explained agent-by-agent with its governing equations; (2) a phase-by-phase project plan from data download to final evaluation; (3) the exact policy parameters (Table 3) needed to configure the Decision Agent; (4) the paper's own reported results, clearly separated from what your own run will produce; (5) a working code skeleton (accompanying this document) implementing every agent; and (6) open-source references and integration guidance.</w:t>
      </w:r>
    </w:p>
    <w:p>
      <w:pPr>
        <w:pStyle w:val="Heading1"/>
        <w:spacing w:after="150" w:before="300"/>
      </w:pPr>
      <w:r>
        <w:t xml:space="preserve">2. What the Paper Actually Claims</w:t>
      </w:r>
    </w:p>
    <w:p>
      <w:pPr>
        <w:pStyle w:val="Heading2"/>
        <w:spacing w:after="100" w:before="220"/>
      </w:pPr>
      <w:r>
        <w:t xml:space="preserve">2.1 Problem framing</w:t>
      </w:r>
    </w:p>
    <w:p>
      <w:pPr>
        <w:spacing w:after="120"/>
      </w:pPr>
      <w:r>
        <w:t xml:space="preserve">Early fault prediction in IIoT predictive maintenance (PdM) is usually posed as an end-to-end learning problem: a model maps a fixed-length multivariate sensor window directly to a warning/failure label. The paper identifies four recurring weaknesses of this approach:</w:t>
      </w:r>
    </w:p>
    <w:p>
      <w:pPr>
        <w:pStyle w:val="ListParagraph"/>
        <w:numPr>
          <w:ilvl w:val="0"/>
          <w:numId w:val="1"/>
        </w:numPr>
        <w:spacing w:after="60"/>
      </w:pPr>
      <w:r>
        <w:t xml:space="preserve">High recall is often bought at the cost of excessive false alarms → operator fatigue, unsafe manual overrides.</w:t>
      </w:r>
    </w:p>
    <w:p>
      <w:pPr>
        <w:pStyle w:val="ListParagraph"/>
        <w:numPr>
          <w:ilvl w:val="0"/>
          <w:numId w:val="1"/>
        </w:numPr>
        <w:spacing w:after="60"/>
      </w:pPr>
      <w:r>
        <w:t xml:space="preserve">Warning probabilities near the decision threshold are unstable under noise/drift, making a single fixed threshold brittle.</w:t>
      </w:r>
    </w:p>
    <w:p>
      <w:pPr>
        <w:pStyle w:val="ListParagraph"/>
        <w:numPr>
          <w:ilvl w:val="0"/>
          <w:numId w:val="1"/>
        </w:numPr>
        <w:spacing w:after="60"/>
      </w:pPr>
      <w:r>
        <w:t xml:space="preserve">Post-hoc explainability highlights influential inputs but rarely gives actionable guidance (fault mechanism, recommended action).</w:t>
      </w:r>
    </w:p>
    <w:p>
      <w:pPr>
        <w:pStyle w:val="ListParagraph"/>
        <w:numPr>
          <w:ilvl w:val="0"/>
          <w:numId w:val="1"/>
        </w:numPr>
        <w:spacing w:after="60"/>
      </w:pPr>
      <w:r>
        <w:t xml:space="preserve">Prediction and decision-making are conflated: the arg-max class IS the alert, with no room to weigh contextual evidence (sensor anomalies, regime shift) or asymmetric costs.</w:t>
      </w:r>
    </w:p>
    <w:p>
      <w:pPr>
        <w:spacing w:after="120"/>
      </w:pPr>
      <w:r>
        <w:t xml:space="preserve">ASPIRE's core move is to separate learning from authority: learning-based agents (autoencoders, an MLP, an LSTM forecaster, a Transformer) each produce evidence; only a deterministic, non-learned Decision Agent commits an alert, using explicit and auditable policy thresholds.</w:t>
      </w:r>
    </w:p>
    <w:p>
      <w:pPr>
        <w:pStyle w:val="Heading2"/>
        <w:spacing w:after="100" w:before="220"/>
      </w:pPr>
      <w:r>
        <w:t xml:space="preserve">2.2 The six agents</w:t>
      </w:r>
    </w:p>
    <w:p>
      <w:pPr>
        <w:pStyle w:val="ListParagraph"/>
        <w:numPr>
          <w:ilvl w:val="0"/>
          <w:numId w:val="1"/>
        </w:numPr>
        <w:spacing w:after="60"/>
      </w:pPr>
      <w:r>
        <w:t xml:space="preserve">Sensor Agents (×S) — local perception: one per sensor, flags point anomalies and distributional drift.</w:t>
      </w:r>
    </w:p>
    <w:p>
      <w:pPr>
        <w:pStyle w:val="ListParagraph"/>
        <w:numPr>
          <w:ilvl w:val="0"/>
          <w:numId w:val="1"/>
        </w:numPr>
        <w:spacing w:after="60"/>
      </w:pPr>
      <w:r>
        <w:t xml:space="preserve">Master Sensor Aggregator Agent — turns per-sensor booleans into system-wide fractions/flags.</w:t>
      </w:r>
    </w:p>
    <w:p>
      <w:pPr>
        <w:pStyle w:val="ListParagraph"/>
        <w:numPr>
          <w:ilvl w:val="0"/>
          <w:numId w:val="1"/>
        </w:numPr>
        <w:spacing w:after="60"/>
      </w:pPr>
      <w:r>
        <w:t xml:space="preserve">Adaptive Window Agent — global temporal-context agent; tracks whether the system's own temporal structure is stable.</w:t>
      </w:r>
    </w:p>
    <w:p>
      <w:pPr>
        <w:pStyle w:val="ListParagraph"/>
        <w:numPr>
          <w:ilvl w:val="0"/>
          <w:numId w:val="1"/>
        </w:numPr>
        <w:spacing w:after="60"/>
      </w:pPr>
      <w:r>
        <w:t xml:space="preserve">Prediction Agent — the frozen Transformer 3-class classifier (Normal / Warning / Fault); this doubles as the paper's baseline.</w:t>
      </w:r>
    </w:p>
    <w:p>
      <w:pPr>
        <w:pStyle w:val="ListParagraph"/>
        <w:numPr>
          <w:ilvl w:val="0"/>
          <w:numId w:val="1"/>
        </w:numPr>
        <w:spacing w:after="60"/>
      </w:pPr>
      <w:r>
        <w:t xml:space="preserve">Decision Agent — deterministic policy engine that arbitrates all of the above into a final alert (the paper's central contribution).</w:t>
      </w:r>
    </w:p>
    <w:p>
      <w:pPr>
        <w:pStyle w:val="ListParagraph"/>
        <w:numPr>
          <w:ilvl w:val="0"/>
          <w:numId w:val="1"/>
        </w:numPr>
        <w:spacing w:after="60"/>
      </w:pPr>
      <w:r>
        <w:t xml:space="preserve">Expert Agent — non-intervening LLM explainer, invoked only for LOW/MEDIUM warnings, never touches the automated decision.</w:t>
      </w:r>
    </w:p>
    <w:p>
      <w:pPr>
        <w:pStyle w:val="Heading2"/>
        <w:spacing w:after="100" w:before="220"/>
      </w:pPr>
      <w:r>
        <w:t xml:space="preserve">2.3 Contributions claimed by the authors (PAPER-REPORTED)</w:t>
      </w:r>
    </w:p>
    <w:p>
      <w:pPr>
        <w:pStyle w:val="ListParagraph"/>
        <w:numPr>
          <w:ilvl w:val="0"/>
          <w:numId w:val="2"/>
        </w:numPr>
        <w:spacing w:after="60"/>
      </w:pPr>
      <w:r>
        <w:t xml:space="preserve">A decision-centric heterogeneous multi-agent architecture with non-overlapping agent roles.</w:t>
      </w:r>
    </w:p>
    <w:p>
      <w:pPr>
        <w:pStyle w:val="ListParagraph"/>
        <w:numPr>
          <w:ilvl w:val="0"/>
          <w:numId w:val="2"/>
        </w:numPr>
        <w:spacing w:after="60"/>
      </w:pPr>
      <w:r>
        <w:t xml:space="preserve">A deterministic Decision Agent with two independently-verifiable mechanisms: margin-based gating (precision 0.875→0.889) and context-supported near-miss recovery (recall 0.941→0.953).</w:t>
      </w:r>
    </w:p>
    <w:p>
      <w:pPr>
        <w:pStyle w:val="ListParagraph"/>
        <w:numPr>
          <w:ilvl w:val="0"/>
          <w:numId w:val="2"/>
        </w:numPr>
        <w:spacing w:after="60"/>
      </w:pPr>
      <w:r>
        <w:t xml:space="preserve">Decision-oriented drift modelling: WDI and FDI treated as first-class decision signals rather than only retraining triggers.</w:t>
      </w:r>
    </w:p>
    <w:p>
      <w:pPr>
        <w:pStyle w:val="ListParagraph"/>
        <w:numPr>
          <w:ilvl w:val="0"/>
          <w:numId w:val="2"/>
        </w:numPr>
        <w:spacing w:after="60"/>
      </w:pPr>
      <w:r>
        <w:t xml:space="preserve">A non-intervening LLM-based Expert Agent producing structured, human-readable explanations and recommended actions.</w:t>
      </w:r>
    </w:p>
    <w:p>
      <w:pPr>
        <w:pStyle w:val="ListParagraph"/>
        <w:numPr>
          <w:ilvl w:val="0"/>
          <w:numId w:val="2"/>
        </w:numPr>
        <w:spacing w:after="60"/>
      </w:pPr>
      <w:r>
        <w:t xml:space="preserve">A rigorous empirical evaluation on MetroPT-3 across holdout lengths of 2,000–30,000 windows, with agreement-bucket analysis, ablation, sensitivity analysis, temporal-stability analysis, and a cost-efficiency/cost-effectiveness analysis (adapting Hughes et al., 2025).</w:t>
      </w:r>
    </w:p>
    <w:p>
      <w:pPr>
        <w:pStyle w:val="Heading1"/>
        <w:spacing w:after="150" w:before="300"/>
      </w:pPr>
      <w:r>
        <w:t xml:space="preserve">3. System Architecture</w:t>
      </w:r>
    </w:p>
    <w:p>
      <w:pPr>
        <w:spacing w:after="120"/>
      </w:pPr>
      <w:r>
        <w:t xml:space="preserve">The figure below is a schematic reproduction of the paper's Figure 1, redrawn from the text description (perception → prediction → decision → explanation layers).</w:t>
      </w:r>
    </w:p>
    <w:p>
      <w:pPr>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333750"/>
                    </a:xfrm>
                    <a:prstGeom prst="rect">
                      <a:avLst/>
                    </a:prstGeom>
                  </pic:spPr>
                </pic:pic>
              </a:graphicData>
            </a:graphic>
          </wp:inline>
        </w:drawing>
      </w:r>
    </w:p>
    <w:p>
      <w:pPr>
        <w:pStyle w:val="Heading2"/>
        <w:spacing w:after="100" w:before="220"/>
      </w:pPr>
      <w:r>
        <w:t xml:space="preserve">3.1 Sensor Agent — local perception (Eq. 2–5)</w:t>
      </w:r>
    </w:p>
    <w:p>
      <w:pPr>
        <w:spacing w:after="120"/>
      </w:pPr>
      <w:r>
        <w:t xml:space="preserve">Each of the S sensors gets its own univariate LSTM autoencoder (encoder-decoder, latent dim 4, time-distributed linear output), trained ONLY on normal-labelled windows. At runtime:</w:t>
      </w:r>
    </w:p>
    <w:p>
      <w:pPr>
        <w:pStyle w:val="ListParagraph"/>
        <w:numPr>
          <w:ilvl w:val="0"/>
          <w:numId w:val="1"/>
        </w:numPr>
        <w:spacing w:after="60"/>
      </w:pPr>
      <w:r>
        <w:t xml:space="preserve">Reconstruction error eᵢ_t = MSE(window, autoencoder(window)).</w:t>
      </w:r>
    </w:p>
    <w:p>
      <w:pPr>
        <w:pStyle w:val="ListParagraph"/>
        <w:numPr>
          <w:ilvl w:val="0"/>
          <w:numId w:val="1"/>
        </w:numPr>
        <w:spacing w:after="60"/>
      </w:pPr>
      <w:r>
        <w:t xml:space="preserve">Anomaly flagged when eᵢ_t &gt; median(e) + k·MAD(e), with k=2.0 and a 5-step cooldown to prevent alert flooding (Eq. 3).</w:t>
      </w:r>
    </w:p>
    <w:p>
      <w:pPr>
        <w:pStyle w:val="ListParagraph"/>
        <w:numPr>
          <w:ilvl w:val="0"/>
          <w:numId w:val="1"/>
        </w:numPr>
        <w:spacing w:after="60"/>
      </w:pPr>
      <w:r>
        <w:t xml:space="preserve">Drift flagged via Jensen–Shannon divergence between a baseline error histogram and a recent 100-step buffer (threshold 0.10), confirmed only after 3 consecutive votes, then a 100-step cooldown. KS-test is the documented fallback if histogram estimation is unreliable.</w:t>
      </w:r>
    </w:p>
    <w:p>
      <w:pPr>
        <w:pStyle w:val="ListParagraph"/>
        <w:numPr>
          <w:ilvl w:val="0"/>
          <w:numId w:val="1"/>
        </w:numPr>
        <w:spacing w:after="60"/>
      </w:pPr>
      <w:r>
        <w:t xml:space="preserve">Confidence score Cᵢ_t = σ(zᵢ_t), a smooth sigmoid of distance beyond threshold (Eq. 4–5) — gives graded severity, not a binary flag.</w:t>
      </w:r>
    </w:p>
    <w:p>
      <w:pPr>
        <w:pStyle w:val="ListParagraph"/>
        <w:numPr>
          <w:ilvl w:val="0"/>
          <w:numId w:val="1"/>
        </w:numPr>
        <w:spacing w:after="60"/>
      </w:pPr>
      <w:r>
        <w:t xml:space="preserve">Retraining is recommended only when ≥2 of {sustained anomaly rate &gt;30% in last 50 steps, drift rate &gt;10%, mean error &gt;2× baseline, stats stale &gt;7 days} hold — conservative, multi-criteria.</w:t>
      </w:r>
    </w:p>
    <w:p>
      <w:pPr>
        <w:spacing w:after="140"/>
      </w:pPr>
      <w:r>
        <w:rPr>
          <w:i/>
          <w:iCs/>
          <w:color w:val="555555"/>
          <w:sz w:val="20"/>
          <w:szCs w:val="20"/>
        </w:rPr>
        <w:t xml:space="preserve">PAPER FINDING: sensor-level drift in their MetroPT-3 run was confirmed AFTER fault onset (timestep ~922), not before — architecturally expected given the 3-vote + cooldown design. The paper is explicit that sensor agents are current-state corroborating evidence, NOT an early-warning source on their own (confirmed later by the ablation study, V2 = V1).</w:t>
      </w:r>
    </w:p>
    <w:p>
      <w:pPr>
        <w:pStyle w:val="Heading2"/>
        <w:spacing w:after="100" w:before="220"/>
      </w:pPr>
      <w:r>
        <w:t xml:space="preserve">3.2 Master Sensor Aggregator Agent (Table 1, left column)</w:t>
      </w:r>
    </w:p>
    <w:p>
      <w:pPr>
        <w:spacing w:after="120"/>
      </w:pPr>
      <w:r>
        <w:t xml:space="preserve">Purely deterministic, no trainable parameters. Aggregates the boolean outputs of all Sensor Agents into: fraction of anomalous sensors, fraction drifting, fraction recommending retraining, plus three system-level boolean flags at fixed thresholds (0.30 anomaly, 0.20 drift, 0.15 retrain).</w:t>
      </w:r>
    </w:p>
    <w:p>
      <w:pPr>
        <w:pStyle w:val="Heading2"/>
        <w:spacing w:after="100" w:before="220"/>
      </w:pPr>
      <w:r>
        <w:t xml:space="preserve">3.3 Adaptive Window Agent — global temporal context (Eq. 6–12)</w:t>
      </w:r>
    </w:p>
    <w:p>
      <w:pPr>
        <w:spacing w:after="120"/>
      </w:pPr>
      <w:r>
        <w:t xml:space="preserve">This is the most architecturally novel perception component. It runs two frozen sub-models:</w:t>
      </w:r>
    </w:p>
    <w:p>
      <w:pPr>
        <w:pStyle w:val="ListParagraph"/>
        <w:numPr>
          <w:ilvl w:val="0"/>
          <w:numId w:val="1"/>
        </w:numPr>
        <w:spacing w:after="60"/>
      </w:pPr>
      <w:r>
        <w:t xml:space="preserve">GDRNet — a pretrained MLP (widths 64/32/16/8, LeakyReLU 0.1, dropout 0.1 after layer 1) that predicts the optimal sliding-window length W̄_t for the current data. GDRNet itself is the authors' own prior IEEE Access 2025 paper (ref [12]) — this ASPIRE paper only reuses it and gives the wrapper's training recipe, not GDRNet's internal architecture.</w:t>
      </w:r>
    </w:p>
    <w:p>
      <w:pPr>
        <w:pStyle w:val="ListParagraph"/>
        <w:numPr>
          <w:ilvl w:val="0"/>
          <w:numId w:val="1"/>
        </w:numPr>
        <w:spacing w:after="60"/>
      </w:pPr>
      <w:r>
        <w:t xml:space="preserve">Next-step predictor (M_NSP) — a 128-unit LSTM + 64-unit dense ReLU head forecasting the next multivariate timestep across all S sensors, trained on 50,000 randomly sampled training windows.</w:t>
      </w:r>
    </w:p>
    <w:p>
      <w:pPr>
        <w:spacing w:after="120"/>
      </w:pPr>
      <w:r>
        <w:t xml:space="preserve">From these two models it derives four indices every step:</w:t>
      </w:r>
    </w:p>
    <w:p>
      <w:pPr>
        <w:pStyle w:val="ListParagraph"/>
        <w:numPr>
          <w:ilvl w:val="0"/>
          <w:numId w:val="1"/>
        </w:numPr>
        <w:spacing w:after="60"/>
      </w:pPr>
      <w:r>
        <w:t xml:space="preserve">FDS_t (Forecast Deviation Score) = (e_t − ē)/(MAD_e+ε) — scale-invariant forecast-error deviation (Eq. 9).</w:t>
      </w:r>
    </w:p>
    <w:p>
      <w:pPr>
        <w:pStyle w:val="ListParagraph"/>
        <w:numPr>
          <w:ilvl w:val="0"/>
          <w:numId w:val="1"/>
        </w:numPr>
        <w:spacing w:after="60"/>
      </w:pPr>
      <w:r>
        <w:t xml:space="preserve">FDI_t (Forecast Drift Index) = JSD(baseline FDS distribution, recent FDS distribution) (Eq. 10).</w:t>
      </w:r>
    </w:p>
    <w:p>
      <w:pPr>
        <w:pStyle w:val="ListParagraph"/>
        <w:numPr>
          <w:ilvl w:val="0"/>
          <w:numId w:val="1"/>
        </w:numPr>
        <w:spacing w:after="60"/>
      </w:pPr>
      <w:r>
        <w:t xml:space="preserve">WDI_t (Window Drift Index) = JSD(baseline predicted-window-size distribution, recent) (Eq. 11) — treated as the DOMINANT drift signal.</w:t>
      </w:r>
    </w:p>
    <w:p>
      <w:pPr>
        <w:pStyle w:val="ListParagraph"/>
        <w:numPr>
          <w:ilvl w:val="0"/>
          <w:numId w:val="1"/>
        </w:numPr>
        <w:spacing w:after="60"/>
      </w:pPr>
      <w:r>
        <w:t xml:space="preserve">WSS_t (Window Shift Score) = (W̄_t − μ_W)/(σ_W+ε) — instantaneous deviation of predicted window size (Eq. 12).</w:t>
      </w:r>
    </w:p>
    <w:p>
      <w:pPr>
        <w:spacing w:after="140"/>
      </w:pPr>
      <w:r>
        <w:rPr>
          <w:i/>
          <w:iCs/>
          <w:color w:val="555555"/>
          <w:sz w:val="20"/>
          <w:szCs w:val="20"/>
        </w:rPr>
        <w:t xml:space="preserve">PAPER FINDING (ablation V3): removing this agent costs 0.004 F1 (0.920→0.916) with precision rising and recall falling — it is the necessary source of the paper's RECALL improvement (near-miss recovery cannot happen without its contextual drift/anomaly evidence, confirmed by V6 = V5 exactly).</w:t>
      </w:r>
    </w:p>
    <w:p>
      <w:pPr>
        <w:pStyle w:val="Heading2"/>
        <w:spacing w:after="100" w:before="220"/>
      </w:pPr>
      <w:r>
        <w:t xml:space="preserve">3.4 Prediction Agent — the frozen Transformer (Eq. 13)</w:t>
      </w:r>
    </w:p>
    <w:p>
      <w:pPr>
        <w:spacing w:after="120"/>
      </w:pPr>
      <w:r>
        <w:t xml:space="preserve">2 Transformer encoder blocks (model dim 64, 4 attention heads, feed-forward dim 128, dropout 0.2), global average pooling, dense softmax → [P_normal, P_warn, P_fault]. Trained with sparse categorical cross-entropy, Adam(1e-3), early stopping, class weighting for label imbalance. Once trained it is FROZEN — ASPIRE never retrains or replaces it. This model's raw arg-max IS the paper's baseline (Table 5 “Transformer” row).</w:t>
      </w:r>
    </w:p>
    <w:p>
      <w:pPr>
        <w:pStyle w:val="Heading2"/>
        <w:spacing w:after="100" w:before="220"/>
      </w:pPr>
      <w:r>
        <w:t xml:space="preserve">3.5 Decision Agent — the core contribution (Eq. 14–18, Algorithms 1 &amp; 2, Table 3)</w:t>
      </w:r>
    </w:p>
    <w:p>
      <w:pPr>
        <w:spacing w:after="120"/>
      </w:pPr>
      <w:r>
        <w:t xml:space="preserve">Deterministic, policy-driven, fully described in Section 4 below.</w:t>
      </w:r>
    </w:p>
    <w:p>
      <w:pPr>
        <w:pStyle w:val="Heading2"/>
        <w:spacing w:after="100" w:before="220"/>
      </w:pPr>
      <w:r>
        <w:t xml:space="preserve">3.6 Expert Agent — non-intervening explanation (Eq. 19)</w:t>
      </w:r>
    </w:p>
    <w:p>
      <w:pPr>
        <w:spacing w:after="120"/>
      </w:pPr>
      <w:r>
        <w:t xml:space="preserve">Invoked ONLY when warning_level is LOW or MEDIUM (Algorithm 2). Packages the full decision context (final decisions, alert level, class probabilities, detection/drift risk, FDS/FDI/WSS/WDI, a short sensor snapshot, recent decision history from a SQLite EventStore) and sends it to gpt-4o-mini via the OpenAI Responses API with a strict JSON-only schema, 400 max output tokens, up to 2 retries, two-stage parse fallback. Its output — {summary, exp, likely_fault, recommended_action, severity} — is logged for human review and NEVER fed back into automated decisions.</w:t>
      </w:r>
    </w:p>
    <w:p>
      <w:pPr>
        <w:pStyle w:val="Heading1"/>
        <w:spacing w:after="150" w:before="300"/>
      </w:pPr>
      <w:r>
        <w:t xml:space="preserve">4. Decision Agent — Algorithms 1 &amp; 2 (full logic)</w:t>
      </w:r>
    </w:p>
    <w:p>
      <w:pPr>
        <w:spacing w:after="120"/>
      </w:pPr>
      <w:r>
        <w:t xml:space="preserve">At every timestep the Decision Agent receives four evidence streams (Table 1 of the paper): Sensor Agent outputs, Master Aggregator outputs, Adaptive Window Agent outputs, and Prediction Agent probabilities. It then runs the following, entirely deterministic, sequence.</w:t>
      </w:r>
    </w:p>
    <w:p>
      <w:pPr>
        <w:pStyle w:val="Heading2"/>
        <w:spacing w:after="100" w:before="220"/>
      </w:pPr>
      <w:r>
        <w:t xml:space="preserve">4.1 Pre-computations</w:t>
      </w:r>
    </w:p>
    <w:p>
      <w:pPr>
        <w:pStyle w:val="ListParagraph"/>
        <w:numPr>
          <w:ilvl w:val="0"/>
          <w:numId w:val="3"/>
        </w:numPr>
        <w:spacing w:after="60"/>
      </w:pPr>
      <w:r>
        <w:t xml:space="preserve">Sensor anomaly intensity: I_s^anom = α·anomaly_rate + (1−α)·topK_strength (Eq. 14).</w:t>
      </w:r>
    </w:p>
    <w:p>
      <w:pPr>
        <w:pStyle w:val="ListParagraph"/>
        <w:numPr>
          <w:ilvl w:val="0"/>
          <w:numId w:val="3"/>
        </w:numPr>
        <w:spacing w:after="60"/>
      </w:pPr>
      <w:r>
        <w:t xml:space="preserve">Window anomaly intensity: I_w^anom = α_wss·σ(|WSS|) + α_sev·(1−e^−sev) + α_fds·σ(FDS), with α_wss ≫ α_sev &gt; α_fds (Eq. 15–16).</w:t>
      </w:r>
    </w:p>
    <w:p>
      <w:pPr>
        <w:pStyle w:val="ListParagraph"/>
        <w:numPr>
          <w:ilvl w:val="0"/>
          <w:numId w:val="3"/>
        </w:numPr>
        <w:spacing w:after="60"/>
      </w:pPr>
      <w:r>
        <w:t xml:space="preserve">Extract probabilities and arg-max class c from the Prediction Agent.</w:t>
      </w:r>
    </w:p>
    <w:p>
      <w:pPr>
        <w:pStyle w:val="ListParagraph"/>
        <w:numPr>
          <w:ilvl w:val="0"/>
          <w:numId w:val="3"/>
        </w:numPr>
        <w:spacing w:after="60"/>
      </w:pPr>
      <w:r>
        <w:t xml:space="preserve">Detection risk R_det = clip[0,1](β_S·I_s^anom + β_W·I_w^anom) (Eq. 17).</w:t>
      </w:r>
    </w:p>
    <w:p>
      <w:pPr>
        <w:pStyle w:val="ListParagraph"/>
        <w:numPr>
          <w:ilvl w:val="0"/>
          <w:numId w:val="3"/>
        </w:numPr>
        <w:spacing w:after="60"/>
      </w:pPr>
      <w:r>
        <w:t xml:space="preserve">Drift risk R_drift = clip[0,1](max(WDI, I_s^drift)) — window drift dominates (Eq. 18).</w:t>
      </w:r>
    </w:p>
    <w:p>
      <w:pPr>
        <w:pStyle w:val="ListParagraph"/>
        <w:numPr>
          <w:ilvl w:val="0"/>
          <w:numId w:val="3"/>
        </w:numPr>
        <w:spacing w:after="60"/>
      </w:pPr>
      <w:r>
        <w:t xml:space="preserve">Secondary flags: final_anomaly ← [R_det ≥ τ_det]; final_drift ← [R_drift ≥ τ_drift].</w:t>
      </w:r>
    </w:p>
    <w:p>
      <w:pPr>
        <w:pStyle w:val="Heading2"/>
        <w:spacing w:after="100" w:before="220"/>
      </w:pPr>
      <w:r>
        <w:t xml:space="preserve">4.2 Final Failure Logic (highest conservatism)</w:t>
      </w:r>
    </w:p>
    <w:p>
      <w:pPr>
        <w:spacing w:after="120"/>
      </w:pPr>
      <w:r>
        <w:t xml:space="preserve">A failure fires when EITHER the fault probability alone clears its threshold, OR the warning probability is high AND both detection and drift risk are simultaneously high — i.e. failure is never declared on learned prediction alone without corroborating present-tense evidence, except in the unambiguous high-probability case.</w:t>
      </w:r>
    </w:p>
    <w:p>
      <w:pPr>
        <w:pStyle w:val="Heading2"/>
        <w:spacing w:after="100" w:before="220"/>
      </w:pPr>
      <w:r>
        <w:t xml:space="preserve">4.3 Final Warning Logic (the asymmetric, novel part)</w:t>
      </w:r>
    </w:p>
    <w:p>
      <w:pPr>
        <w:pStyle w:val="ListParagraph"/>
        <w:numPr>
          <w:ilvl w:val="0"/>
          <w:numId w:val="1"/>
        </w:numPr>
        <w:spacing w:after="60"/>
      </w:pPr>
      <w:r>
        <w:t xml:space="preserve">Warning margin Δ = p_warn − p_normal.</w:t>
      </w:r>
    </w:p>
    <w:p>
      <w:pPr>
        <w:pStyle w:val="ListParagraph"/>
        <w:numPr>
          <w:ilvl w:val="0"/>
          <w:numId w:val="1"/>
        </w:numPr>
        <w:spacing w:after="60"/>
      </w:pPr>
      <w:r>
        <w:t xml:space="preserve">Margin gate: Δ ≥ Δ_margin (calibrated to 0.0338 via PR-curve sweep on a pre-holdout split, maximizing F1 under a minimum-recall constraint — this suppresses boundary-adjacent, unstable warnings → precision gain).</w:t>
      </w:r>
    </w:p>
    <w:p>
      <w:pPr>
        <w:pStyle w:val="ListParagraph"/>
        <w:numPr>
          <w:ilvl w:val="0"/>
          <w:numId w:val="1"/>
        </w:numPr>
        <w:spacing w:after="60"/>
      </w:pPr>
      <w:r>
        <w:t xml:space="preserve">Transformer-warning: arg-max class is Warning AND margin gate passes.</w:t>
      </w:r>
    </w:p>
    <w:p>
      <w:pPr>
        <w:pStyle w:val="ListParagraph"/>
        <w:numPr>
          <w:ilvl w:val="0"/>
          <w:numId w:val="1"/>
        </w:numPr>
        <w:spacing w:after="60"/>
      </w:pPr>
      <w:r>
        <w:t xml:space="preserve">Near-miss: arg-max class is Normal but the deficit (p_normal − p_warn) is small (&lt; Δ_deficit = 0.03).</w:t>
      </w:r>
    </w:p>
    <w:p>
      <w:pPr>
        <w:pStyle w:val="ListParagraph"/>
        <w:numPr>
          <w:ilvl w:val="0"/>
          <w:numId w:val="1"/>
        </w:numPr>
        <w:spacing w:after="60"/>
      </w:pPr>
      <w:r>
        <w:t xml:space="preserve">Warning evidence: a near-miss case additionally corroborated by final_drift OR final_anomaly → recall gain (this is where sensor/window evidence earns its keep).</w:t>
      </w:r>
    </w:p>
    <w:p>
      <w:pPr>
        <w:pStyle w:val="ListParagraph"/>
        <w:numPr>
          <w:ilvl w:val="0"/>
          <w:numId w:val="1"/>
        </w:numPr>
        <w:spacing w:after="60"/>
      </w:pPr>
      <w:r>
        <w:t xml:space="preserve">final_warning = (Transformer-warning OR warning_evidence) AND NOT final_failure.</w:t>
      </w:r>
    </w:p>
    <w:p>
      <w:pPr>
        <w:pStyle w:val="Heading2"/>
        <w:spacing w:after="100" w:before="220"/>
      </w:pPr>
      <w:r>
        <w:t xml:space="preserve">4.4 Warning Level → downstream routing (Algorithm 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300"/>
        <w:gridCol w:w="2000"/>
        <w:gridCol w:w="3050"/>
      </w:tblGrid>
      <w:tr>
        <w:trPr>
          <w:tblHeader/>
        </w:trPr>
        <w:tc>
          <w:tcPr>
            <w:tcW w:type="dxa" w:w="4300"/>
            <w:shd w:fill="EAF2FB" w:val="clear"/>
            <w:tcMar>
              <w:top w:type="dxa" w:w="60"/>
              <w:left w:type="dxa" w:w="80"/>
              <w:bottom w:type="dxa" w:w="60"/>
              <w:right w:type="dxa" w:w="80"/>
            </w:tcMar>
          </w:tcPr>
          <w:p>
            <w:r>
              <w:rPr>
                <w:b/>
                <w:bCs/>
                <w:sz w:val="20"/>
                <w:szCs w:val="20"/>
              </w:rPr>
              <w:t xml:space="preserve">Condition</w:t>
            </w:r>
          </w:p>
        </w:tc>
        <w:tc>
          <w:tcPr>
            <w:tcW w:type="dxa" w:w="2000"/>
            <w:shd w:fill="EAF2FB" w:val="clear"/>
            <w:tcMar>
              <w:top w:type="dxa" w:w="60"/>
              <w:left w:type="dxa" w:w="80"/>
              <w:bottom w:type="dxa" w:w="60"/>
              <w:right w:type="dxa" w:w="80"/>
            </w:tcMar>
          </w:tcPr>
          <w:p>
            <w:r>
              <w:rPr>
                <w:b/>
                <w:bCs/>
                <w:sz w:val="20"/>
                <w:szCs w:val="20"/>
              </w:rPr>
              <w:t xml:space="preserve">Alert level</w:t>
            </w:r>
          </w:p>
        </w:tc>
        <w:tc>
          <w:tcPr>
            <w:tcW w:type="dxa" w:w="3050"/>
            <w:shd w:fill="EAF2FB" w:val="clear"/>
            <w:tcMar>
              <w:top w:type="dxa" w:w="60"/>
              <w:left w:type="dxa" w:w="80"/>
              <w:bottom w:type="dxa" w:w="60"/>
              <w:right w:type="dxa" w:w="80"/>
            </w:tcMar>
          </w:tcPr>
          <w:p>
            <w:r>
              <w:rPr>
                <w:b/>
                <w:bCs/>
                <w:sz w:val="20"/>
                <w:szCs w:val="20"/>
              </w:rPr>
              <w:t xml:space="preserve">Action</w:t>
            </w:r>
          </w:p>
        </w:tc>
      </w:tr>
      <w:tr>
        <w:tc>
          <w:tcPr>
            <w:tcW w:type="dxa" w:w="4300"/>
            <w:tcMar>
              <w:top w:type="dxa" w:w="60"/>
              <w:left w:type="dxa" w:w="80"/>
              <w:bottom w:type="dxa" w:w="60"/>
              <w:right w:type="dxa" w:w="80"/>
            </w:tcMar>
          </w:tcPr>
          <w:p>
            <w:r>
              <w:rPr>
                <w:b w:val="false"/>
                <w:bCs w:val="false"/>
                <w:sz w:val="20"/>
                <w:szCs w:val="20"/>
              </w:rPr>
              <w:t xml:space="preserve">final_failure</w:t>
            </w:r>
          </w:p>
        </w:tc>
        <w:tc>
          <w:tcPr>
            <w:tcW w:type="dxa" w:w="2000"/>
            <w:tcMar>
              <w:top w:type="dxa" w:w="60"/>
              <w:left w:type="dxa" w:w="80"/>
              <w:bottom w:type="dxa" w:w="60"/>
              <w:right w:type="dxa" w:w="80"/>
            </w:tcMar>
          </w:tcPr>
          <w:p>
            <w:r>
              <w:rPr>
                <w:b w:val="false"/>
                <w:bCs w:val="false"/>
                <w:sz w:val="20"/>
                <w:szCs w:val="20"/>
              </w:rPr>
              <w:t xml:space="preserve">CRITICAL</w:t>
            </w:r>
          </w:p>
        </w:tc>
        <w:tc>
          <w:tcPr>
            <w:tcW w:type="dxa" w:w="3050"/>
            <w:tcMar>
              <w:top w:type="dxa" w:w="60"/>
              <w:left w:type="dxa" w:w="80"/>
              <w:bottom w:type="dxa" w:w="60"/>
              <w:right w:type="dxa" w:w="80"/>
            </w:tcMar>
          </w:tcPr>
          <w:p>
            <w:r>
              <w:rPr>
                <w:b w:val="false"/>
                <w:bCs w:val="false"/>
                <w:sz w:val="20"/>
                <w:szCs w:val="20"/>
              </w:rPr>
              <w:t xml:space="preserve">SEND_ALERT(FIX)</w:t>
            </w:r>
          </w:p>
        </w:tc>
      </w:tr>
      <w:tr>
        <w:tc>
          <w:tcPr>
            <w:tcW w:type="dxa" w:w="4300"/>
            <w:tcMar>
              <w:top w:type="dxa" w:w="60"/>
              <w:left w:type="dxa" w:w="80"/>
              <w:bottom w:type="dxa" w:w="60"/>
              <w:right w:type="dxa" w:w="80"/>
            </w:tcMar>
          </w:tcPr>
          <w:p>
            <w:r>
              <w:rPr>
                <w:b w:val="false"/>
                <w:bCs w:val="false"/>
                <w:sz w:val="20"/>
                <w:szCs w:val="20"/>
              </w:rPr>
              <w:t xml:space="preserve">final_warning AND level=HIGH</w:t>
            </w:r>
          </w:p>
        </w:tc>
        <w:tc>
          <w:tcPr>
            <w:tcW w:type="dxa" w:w="2000"/>
            <w:tcMar>
              <w:top w:type="dxa" w:w="60"/>
              <w:left w:type="dxa" w:w="80"/>
              <w:bottom w:type="dxa" w:w="60"/>
              <w:right w:type="dxa" w:w="80"/>
            </w:tcMar>
          </w:tcPr>
          <w:p>
            <w:r>
              <w:rPr>
                <w:b w:val="false"/>
                <w:bCs w:val="false"/>
                <w:sz w:val="20"/>
                <w:szCs w:val="20"/>
              </w:rPr>
              <w:t xml:space="preserve">HIGH</w:t>
            </w:r>
          </w:p>
        </w:tc>
        <w:tc>
          <w:tcPr>
            <w:tcW w:type="dxa" w:w="3050"/>
            <w:tcMar>
              <w:top w:type="dxa" w:w="60"/>
              <w:left w:type="dxa" w:w="80"/>
              <w:bottom w:type="dxa" w:w="60"/>
              <w:right w:type="dxa" w:w="80"/>
            </w:tcMar>
          </w:tcPr>
          <w:p>
            <w:r>
              <w:rPr>
                <w:b w:val="false"/>
                <w:bCs w:val="false"/>
                <w:sz w:val="20"/>
                <w:szCs w:val="20"/>
              </w:rPr>
              <w:t xml:space="preserve">SEND_ALERT(PREDICTIVE_INTERVENTION)</w:t>
            </w:r>
          </w:p>
        </w:tc>
      </w:tr>
      <w:tr>
        <w:tc>
          <w:tcPr>
            <w:tcW w:type="dxa" w:w="4300"/>
            <w:tcMar>
              <w:top w:type="dxa" w:w="60"/>
              <w:left w:type="dxa" w:w="80"/>
              <w:bottom w:type="dxa" w:w="60"/>
              <w:right w:type="dxa" w:w="80"/>
            </w:tcMar>
          </w:tcPr>
          <w:p>
            <w:r>
              <w:rPr>
                <w:b w:val="false"/>
                <w:bCs w:val="false"/>
                <w:sz w:val="20"/>
                <w:szCs w:val="20"/>
              </w:rPr>
              <w:t xml:space="preserve">final_warning AND level∈{MEDIUM,LOW}</w:t>
            </w:r>
          </w:p>
        </w:tc>
        <w:tc>
          <w:tcPr>
            <w:tcW w:type="dxa" w:w="2000"/>
            <w:tcMar>
              <w:top w:type="dxa" w:w="60"/>
              <w:left w:type="dxa" w:w="80"/>
              <w:bottom w:type="dxa" w:w="60"/>
              <w:right w:type="dxa" w:w="80"/>
            </w:tcMar>
          </w:tcPr>
          <w:p>
            <w:r>
              <w:rPr>
                <w:b w:val="false"/>
                <w:bCs w:val="false"/>
                <w:sz w:val="20"/>
                <w:szCs w:val="20"/>
              </w:rPr>
              <w:t xml:space="preserve">MEDIUM</w:t>
            </w:r>
          </w:p>
        </w:tc>
        <w:tc>
          <w:tcPr>
            <w:tcW w:type="dxa" w:w="3050"/>
            <w:tcMar>
              <w:top w:type="dxa" w:w="60"/>
              <w:left w:type="dxa" w:w="80"/>
              <w:bottom w:type="dxa" w:w="60"/>
              <w:right w:type="dxa" w:w="80"/>
            </w:tcMar>
          </w:tcPr>
          <w:p>
            <w:r>
              <w:rPr>
                <w:b w:val="false"/>
                <w:bCs w:val="false"/>
                <w:sz w:val="20"/>
                <w:szCs w:val="20"/>
              </w:rPr>
              <w:t xml:space="preserve">INVOKE_EXPERT_AGENT()</w:t>
            </w:r>
          </w:p>
        </w:tc>
      </w:tr>
      <w:tr>
        <w:tc>
          <w:tcPr>
            <w:tcW w:type="dxa" w:w="4300"/>
            <w:tcMar>
              <w:top w:type="dxa" w:w="60"/>
              <w:left w:type="dxa" w:w="80"/>
              <w:bottom w:type="dxa" w:w="60"/>
              <w:right w:type="dxa" w:w="80"/>
            </w:tcMar>
          </w:tcPr>
          <w:p>
            <w:r>
              <w:rPr>
                <w:b w:val="false"/>
                <w:bCs w:val="false"/>
                <w:sz w:val="20"/>
                <w:szCs w:val="20"/>
              </w:rPr>
              <w:t xml:space="preserve">otherwise</w:t>
            </w:r>
          </w:p>
        </w:tc>
        <w:tc>
          <w:tcPr>
            <w:tcW w:type="dxa" w:w="2000"/>
            <w:tcMar>
              <w:top w:type="dxa" w:w="60"/>
              <w:left w:type="dxa" w:w="80"/>
              <w:bottom w:type="dxa" w:w="60"/>
              <w:right w:type="dxa" w:w="80"/>
            </w:tcMar>
          </w:tcPr>
          <w:p>
            <w:r>
              <w:rPr>
                <w:b w:val="false"/>
                <w:bCs w:val="false"/>
                <w:sz w:val="20"/>
                <w:szCs w:val="20"/>
              </w:rPr>
              <w:t xml:space="preserve">NONE</w:t>
            </w:r>
          </w:p>
        </w:tc>
        <w:tc>
          <w:tcPr>
            <w:tcW w:type="dxa" w:w="3050"/>
            <w:tcMar>
              <w:top w:type="dxa" w:w="60"/>
              <w:left w:type="dxa" w:w="80"/>
              <w:bottom w:type="dxa" w:w="60"/>
              <w:right w:type="dxa" w:w="80"/>
            </w:tcMar>
          </w:tcPr>
          <w:p>
            <w:r>
              <w:rPr>
                <w:b w:val="false"/>
                <w:bCs w:val="false"/>
                <w:sz w:val="20"/>
                <w:szCs w:val="20"/>
              </w:rPr>
              <w:t xml:space="preserve">monitor only</w:t>
            </w:r>
          </w:p>
        </w:tc>
      </w:tr>
    </w:tbl>
    <w:p>
      <w:pPr>
        <w:pStyle w:val="Heading2"/>
        <w:spacing w:after="100" w:before="220"/>
      </w:pPr>
      <w:r>
        <w:t xml:space="preserve">4.5 Table 3 — all published policy parameters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00"/>
        <w:gridCol w:w="2550"/>
      </w:tblGrid>
      <w:tr>
        <w:trPr>
          <w:tblHeader/>
        </w:trPr>
        <w:tc>
          <w:tcPr>
            <w:tcW w:type="dxa" w:w="2000"/>
            <w:shd w:fill="EAF2FB" w:val="clear"/>
            <w:tcMar>
              <w:top w:type="dxa" w:w="60"/>
              <w:left w:type="dxa" w:w="80"/>
              <w:bottom w:type="dxa" w:w="60"/>
              <w:right w:type="dxa" w:w="80"/>
            </w:tcMar>
          </w:tcPr>
          <w:p>
            <w:r>
              <w:rPr>
                <w:b/>
                <w:bCs/>
                <w:sz w:val="20"/>
                <w:szCs w:val="20"/>
              </w:rPr>
              <w:t xml:space="preserve">Category</w:t>
            </w:r>
          </w:p>
        </w:tc>
        <w:tc>
          <w:tcPr>
            <w:tcW w:type="dxa" w:w="2600"/>
            <w:shd w:fill="EAF2FB" w:val="clear"/>
            <w:tcMar>
              <w:top w:type="dxa" w:w="60"/>
              <w:left w:type="dxa" w:w="80"/>
              <w:bottom w:type="dxa" w:w="60"/>
              <w:right w:type="dxa" w:w="80"/>
            </w:tcMar>
          </w:tcPr>
          <w:p>
            <w:r>
              <w:rPr>
                <w:b/>
                <w:bCs/>
                <w:sz w:val="20"/>
                <w:szCs w:val="20"/>
              </w:rPr>
              <w:t xml:space="preserve">Parameter</w:t>
            </w:r>
          </w:p>
        </w:tc>
        <w:tc>
          <w:tcPr>
            <w:tcW w:type="dxa" w:w="2200"/>
            <w:shd w:fill="EAF2FB" w:val="clear"/>
            <w:tcMar>
              <w:top w:type="dxa" w:w="60"/>
              <w:left w:type="dxa" w:w="80"/>
              <w:bottom w:type="dxa" w:w="60"/>
              <w:right w:type="dxa" w:w="80"/>
            </w:tcMar>
          </w:tcPr>
          <w:p>
            <w:r>
              <w:rPr>
                <w:b/>
                <w:bCs/>
                <w:sz w:val="20"/>
                <w:szCs w:val="20"/>
              </w:rPr>
              <w:t xml:space="preserve">Value</w:t>
            </w:r>
          </w:p>
        </w:tc>
        <w:tc>
          <w:tcPr>
            <w:tcW w:type="dxa" w:w="2550"/>
            <w:shd w:fill="EAF2FB" w:val="clear"/>
            <w:tcMar>
              <w:top w:type="dxa" w:w="60"/>
              <w:left w:type="dxa" w:w="80"/>
              <w:bottom w:type="dxa" w:w="60"/>
              <w:right w:type="dxa" w:w="80"/>
            </w:tcMar>
          </w:tcPr>
          <w:p>
            <w:r>
              <w:rPr>
                <w:b/>
                <w:bCs/>
                <w:sz w:val="20"/>
                <w:szCs w:val="20"/>
              </w:rPr>
              <w:t xml:space="preserve">Meaning</w:t>
            </w:r>
          </w:p>
        </w:tc>
      </w:tr>
      <w:tr>
        <w:tc>
          <w:tcPr>
            <w:tcW w:type="dxa" w:w="2000"/>
            <w:tcMar>
              <w:top w:type="dxa" w:w="60"/>
              <w:left w:type="dxa" w:w="80"/>
              <w:bottom w:type="dxa" w:w="60"/>
              <w:right w:type="dxa" w:w="80"/>
            </w:tcMar>
          </w:tcPr>
          <w:p>
            <w:r>
              <w:rPr>
                <w:b w:val="false"/>
                <w:bCs w:val="false"/>
                <w:sz w:val="20"/>
                <w:szCs w:val="20"/>
              </w:rPr>
              <w:t xml:space="preserve">Detection fusion</w:t>
            </w:r>
          </w:p>
        </w:tc>
        <w:tc>
          <w:tcPr>
            <w:tcW w:type="dxa" w:w="2600"/>
            <w:tcMar>
              <w:top w:type="dxa" w:w="60"/>
              <w:left w:type="dxa" w:w="80"/>
              <w:bottom w:type="dxa" w:w="60"/>
              <w:right w:type="dxa" w:w="80"/>
            </w:tcMar>
          </w:tcPr>
          <w:p>
            <w:r>
              <w:rPr>
                <w:b w:val="false"/>
                <w:bCs w:val="false"/>
                <w:sz w:val="20"/>
                <w:szCs w:val="20"/>
              </w:rPr>
              <w:t xml:space="preserve">w_sensor / w_window</w:t>
            </w:r>
          </w:p>
        </w:tc>
        <w:tc>
          <w:tcPr>
            <w:tcW w:type="dxa" w:w="2200"/>
            <w:tcMar>
              <w:top w:type="dxa" w:w="60"/>
              <w:left w:type="dxa" w:w="80"/>
              <w:bottom w:type="dxa" w:w="60"/>
              <w:right w:type="dxa" w:w="80"/>
            </w:tcMar>
          </w:tcPr>
          <w:p>
            <w:r>
              <w:rPr>
                <w:b w:val="false"/>
                <w:bCs w:val="false"/>
                <w:sz w:val="20"/>
                <w:szCs w:val="20"/>
              </w:rPr>
              <w:t xml:space="preserve">0.20 / 0.80</w:t>
            </w:r>
          </w:p>
        </w:tc>
        <w:tc>
          <w:tcPr>
            <w:tcW w:type="dxa" w:w="2550"/>
            <w:tcMar>
              <w:top w:type="dxa" w:w="60"/>
              <w:left w:type="dxa" w:w="80"/>
              <w:bottom w:type="dxa" w:w="60"/>
              <w:right w:type="dxa" w:w="80"/>
            </w:tcMar>
          </w:tcPr>
          <w:p>
            <w:r>
              <w:rPr>
                <w:b w:val="false"/>
                <w:bCs w:val="false"/>
                <w:sz w:val="20"/>
                <w:szCs w:val="20"/>
              </w:rPr>
              <w:t xml:space="preserve">Weight of sensor vs. window anomaly intensity</w:t>
            </w:r>
          </w:p>
        </w:tc>
      </w:tr>
      <w:tr>
        <w:tc>
          <w:tcPr>
            <w:tcW w:type="dxa" w:w="2000"/>
            <w:tcMar>
              <w:top w:type="dxa" w:w="60"/>
              <w:left w:type="dxa" w:w="80"/>
              <w:bottom w:type="dxa" w:w="60"/>
              <w:right w:type="dxa" w:w="80"/>
            </w:tcMar>
          </w:tcPr>
          <w:p>
            <w:r>
              <w:rPr>
                <w:b w:val="false"/>
                <w:bCs w:val="false"/>
                <w:sz w:val="20"/>
                <w:szCs w:val="20"/>
              </w:rPr>
              <w:t xml:space="preserve">Detection decision</w:t>
            </w:r>
          </w:p>
        </w:tc>
        <w:tc>
          <w:tcPr>
            <w:tcW w:type="dxa" w:w="2600"/>
            <w:tcMar>
              <w:top w:type="dxa" w:w="60"/>
              <w:left w:type="dxa" w:w="80"/>
              <w:bottom w:type="dxa" w:w="60"/>
              <w:right w:type="dxa" w:w="80"/>
            </w:tcMar>
          </w:tcPr>
          <w:p>
            <w:r>
              <w:rPr>
                <w:b w:val="false"/>
                <w:bCs w:val="false"/>
                <w:sz w:val="20"/>
                <w:szCs w:val="20"/>
              </w:rPr>
              <w:t xml:space="preserve">τ_det</w:t>
            </w:r>
          </w:p>
        </w:tc>
        <w:tc>
          <w:tcPr>
            <w:tcW w:type="dxa" w:w="2200"/>
            <w:tcMar>
              <w:top w:type="dxa" w:w="60"/>
              <w:left w:type="dxa" w:w="80"/>
              <w:bottom w:type="dxa" w:w="60"/>
              <w:right w:type="dxa" w:w="80"/>
            </w:tcMar>
          </w:tcPr>
          <w:p>
            <w:r>
              <w:rPr>
                <w:b w:val="false"/>
                <w:bCs w:val="false"/>
                <w:sz w:val="20"/>
                <w:szCs w:val="20"/>
              </w:rPr>
              <w:t xml:space="preserve">0.50</w:t>
            </w:r>
          </w:p>
        </w:tc>
        <w:tc>
          <w:tcPr>
            <w:tcW w:type="dxa" w:w="2550"/>
            <w:tcMar>
              <w:top w:type="dxa" w:w="60"/>
              <w:left w:type="dxa" w:w="80"/>
              <w:bottom w:type="dxa" w:w="60"/>
              <w:right w:type="dxa" w:w="80"/>
            </w:tcMar>
          </w:tcPr>
          <w:p>
            <w:r>
              <w:rPr>
                <w:b w:val="false"/>
                <w:bCs w:val="false"/>
                <w:sz w:val="20"/>
                <w:szCs w:val="20"/>
              </w:rPr>
              <w:t xml:space="preserve">System-level anomaly threshold</w:t>
            </w:r>
          </w:p>
        </w:tc>
      </w:tr>
      <w:tr>
        <w:tc>
          <w:tcPr>
            <w:tcW w:type="dxa" w:w="2000"/>
            <w:tcMar>
              <w:top w:type="dxa" w:w="60"/>
              <w:left w:type="dxa" w:w="80"/>
              <w:bottom w:type="dxa" w:w="60"/>
              <w:right w:type="dxa" w:w="80"/>
            </w:tcMar>
          </w:tcPr>
          <w:p>
            <w:r>
              <w:rPr>
                <w:b w:val="false"/>
                <w:bCs w:val="false"/>
                <w:sz w:val="20"/>
                <w:szCs w:val="20"/>
              </w:rPr>
              <w:t xml:space="preserve">Drift fusion</w:t>
            </w:r>
          </w:p>
        </w:tc>
        <w:tc>
          <w:tcPr>
            <w:tcW w:type="dxa" w:w="2600"/>
            <w:tcMar>
              <w:top w:type="dxa" w:w="60"/>
              <w:left w:type="dxa" w:w="80"/>
              <w:bottom w:type="dxa" w:w="60"/>
              <w:right w:type="dxa" w:w="80"/>
            </w:tcMar>
          </w:tcPr>
          <w:p>
            <w:r>
              <w:rPr>
                <w:b w:val="false"/>
                <w:bCs w:val="false"/>
                <w:sz w:val="20"/>
                <w:szCs w:val="20"/>
              </w:rPr>
              <w:t xml:space="preserve">w_WDI / w_sensor-drift / w_FDI</w:t>
            </w:r>
          </w:p>
        </w:tc>
        <w:tc>
          <w:tcPr>
            <w:tcW w:type="dxa" w:w="2200"/>
            <w:tcMar>
              <w:top w:type="dxa" w:w="60"/>
              <w:left w:type="dxa" w:w="80"/>
              <w:bottom w:type="dxa" w:w="60"/>
              <w:right w:type="dxa" w:w="80"/>
            </w:tcMar>
          </w:tcPr>
          <w:p>
            <w:r>
              <w:rPr>
                <w:b w:val="false"/>
                <w:bCs w:val="false"/>
                <w:sz w:val="20"/>
                <w:szCs w:val="20"/>
              </w:rPr>
              <w:t xml:space="preserve">0.60 / 0.30 / 0.10</w:t>
            </w:r>
          </w:p>
        </w:tc>
        <w:tc>
          <w:tcPr>
            <w:tcW w:type="dxa" w:w="2550"/>
            <w:tcMar>
              <w:top w:type="dxa" w:w="60"/>
              <w:left w:type="dxa" w:w="80"/>
              <w:bottom w:type="dxa" w:w="60"/>
              <w:right w:type="dxa" w:w="80"/>
            </w:tcMar>
          </w:tcPr>
          <w:p>
            <w:r>
              <w:rPr>
                <w:b w:val="false"/>
                <w:bCs w:val="false"/>
                <w:sz w:val="20"/>
                <w:szCs w:val="20"/>
              </w:rPr>
              <w:t xml:space="preserve">Window drift dominates fusion</w:t>
            </w:r>
          </w:p>
        </w:tc>
      </w:tr>
      <w:tr>
        <w:tc>
          <w:tcPr>
            <w:tcW w:type="dxa" w:w="2000"/>
            <w:tcMar>
              <w:top w:type="dxa" w:w="60"/>
              <w:left w:type="dxa" w:w="80"/>
              <w:bottom w:type="dxa" w:w="60"/>
              <w:right w:type="dxa" w:w="80"/>
            </w:tcMar>
          </w:tcPr>
          <w:p>
            <w:r>
              <w:rPr>
                <w:b w:val="false"/>
                <w:bCs w:val="false"/>
                <w:sz w:val="20"/>
                <w:szCs w:val="20"/>
              </w:rPr>
              <w:t xml:space="preserve">Drift decision</w:t>
            </w:r>
          </w:p>
        </w:tc>
        <w:tc>
          <w:tcPr>
            <w:tcW w:type="dxa" w:w="2600"/>
            <w:tcMar>
              <w:top w:type="dxa" w:w="60"/>
              <w:left w:type="dxa" w:w="80"/>
              <w:bottom w:type="dxa" w:w="60"/>
              <w:right w:type="dxa" w:w="80"/>
            </w:tcMar>
          </w:tcPr>
          <w:p>
            <w:r>
              <w:rPr>
                <w:b w:val="false"/>
                <w:bCs w:val="false"/>
                <w:sz w:val="20"/>
                <w:szCs w:val="20"/>
              </w:rPr>
              <w:t xml:space="preserve">τ_drift</w:t>
            </w:r>
          </w:p>
        </w:tc>
        <w:tc>
          <w:tcPr>
            <w:tcW w:type="dxa" w:w="2200"/>
            <w:tcMar>
              <w:top w:type="dxa" w:w="60"/>
              <w:left w:type="dxa" w:w="80"/>
              <w:bottom w:type="dxa" w:w="60"/>
              <w:right w:type="dxa" w:w="80"/>
            </w:tcMar>
          </w:tcPr>
          <w:p>
            <w:r>
              <w:rPr>
                <w:b w:val="false"/>
                <w:bCs w:val="false"/>
                <w:sz w:val="20"/>
                <w:szCs w:val="20"/>
              </w:rPr>
              <w:t xml:space="preserve">0.35</w:t>
            </w:r>
          </w:p>
        </w:tc>
        <w:tc>
          <w:tcPr>
            <w:tcW w:type="dxa" w:w="2550"/>
            <w:tcMar>
              <w:top w:type="dxa" w:w="60"/>
              <w:left w:type="dxa" w:w="80"/>
              <w:bottom w:type="dxa" w:w="60"/>
              <w:right w:type="dxa" w:w="80"/>
            </w:tcMar>
          </w:tcPr>
          <w:p>
            <w:r>
              <w:rPr>
                <w:b w:val="false"/>
                <w:bCs w:val="false"/>
                <w:sz w:val="20"/>
                <w:szCs w:val="20"/>
              </w:rPr>
              <w:t xml:space="preserve">System-level drift threshold</w:t>
            </w:r>
          </w:p>
        </w:tc>
      </w:tr>
      <w:tr>
        <w:tc>
          <w:tcPr>
            <w:tcW w:type="dxa" w:w="2000"/>
            <w:tcMar>
              <w:top w:type="dxa" w:w="60"/>
              <w:left w:type="dxa" w:w="80"/>
              <w:bottom w:type="dxa" w:w="60"/>
              <w:right w:type="dxa" w:w="80"/>
            </w:tcMar>
          </w:tcPr>
          <w:p>
            <w:r>
              <w:rPr>
                <w:b w:val="false"/>
                <w:bCs w:val="false"/>
                <w:sz w:val="20"/>
                <w:szCs w:val="20"/>
              </w:rPr>
              <w:t xml:space="preserve">Failure prediction</w:t>
            </w:r>
          </w:p>
        </w:tc>
        <w:tc>
          <w:tcPr>
            <w:tcW w:type="dxa" w:w="2600"/>
            <w:tcMar>
              <w:top w:type="dxa" w:w="60"/>
              <w:left w:type="dxa" w:w="80"/>
              <w:bottom w:type="dxa" w:w="60"/>
              <w:right w:type="dxa" w:w="80"/>
            </w:tcMar>
          </w:tcPr>
          <w:p>
            <w:r>
              <w:rPr>
                <w:b w:val="false"/>
                <w:bCs w:val="false"/>
                <w:sz w:val="20"/>
                <w:szCs w:val="20"/>
              </w:rPr>
              <w:t xml:space="preserve">τ_fail / τ_fail^crit</w:t>
            </w:r>
          </w:p>
        </w:tc>
        <w:tc>
          <w:tcPr>
            <w:tcW w:type="dxa" w:w="2200"/>
            <w:tcMar>
              <w:top w:type="dxa" w:w="60"/>
              <w:left w:type="dxa" w:w="80"/>
              <w:bottom w:type="dxa" w:w="60"/>
              <w:right w:type="dxa" w:w="80"/>
            </w:tcMar>
          </w:tcPr>
          <w:p>
            <w:r>
              <w:rPr>
                <w:b w:val="false"/>
                <w:bCs w:val="false"/>
                <w:sz w:val="20"/>
                <w:szCs w:val="20"/>
              </w:rPr>
              <w:t xml:space="preserve">0.50 / 0.80</w:t>
            </w:r>
          </w:p>
        </w:tc>
        <w:tc>
          <w:tcPr>
            <w:tcW w:type="dxa" w:w="2550"/>
            <w:tcMar>
              <w:top w:type="dxa" w:w="60"/>
              <w:left w:type="dxa" w:w="80"/>
              <w:bottom w:type="dxa" w:w="60"/>
              <w:right w:type="dxa" w:w="80"/>
            </w:tcMar>
          </w:tcPr>
          <w:p>
            <w:r>
              <w:rPr>
                <w:b w:val="false"/>
                <w:bCs w:val="false"/>
                <w:sz w:val="20"/>
                <w:szCs w:val="20"/>
              </w:rPr>
              <w:t xml:space="preserve">Failure / critical-failure thresholds</w:t>
            </w:r>
          </w:p>
        </w:tc>
      </w:tr>
      <w:tr>
        <w:tc>
          <w:tcPr>
            <w:tcW w:type="dxa" w:w="2000"/>
            <w:tcMar>
              <w:top w:type="dxa" w:w="60"/>
              <w:left w:type="dxa" w:w="80"/>
              <w:bottom w:type="dxa" w:w="60"/>
              <w:right w:type="dxa" w:w="80"/>
            </w:tcMar>
          </w:tcPr>
          <w:p>
            <w:r>
              <w:rPr>
                <w:b w:val="false"/>
                <w:bCs w:val="false"/>
                <w:sz w:val="20"/>
                <w:szCs w:val="20"/>
              </w:rPr>
              <w:t xml:space="preserve">Warning gating</w:t>
            </w:r>
          </w:p>
        </w:tc>
        <w:tc>
          <w:tcPr>
            <w:tcW w:type="dxa" w:w="2600"/>
            <w:tcMar>
              <w:top w:type="dxa" w:w="60"/>
              <w:left w:type="dxa" w:w="80"/>
              <w:bottom w:type="dxa" w:w="60"/>
              <w:right w:type="dxa" w:w="80"/>
            </w:tcMar>
          </w:tcPr>
          <w:p>
            <w:r>
              <w:rPr>
                <w:b w:val="false"/>
                <w:bCs w:val="false"/>
                <w:sz w:val="20"/>
                <w:szCs w:val="20"/>
              </w:rPr>
              <w:t xml:space="preserve">τ_warn</w:t>
            </w:r>
          </w:p>
        </w:tc>
        <w:tc>
          <w:tcPr>
            <w:tcW w:type="dxa" w:w="2200"/>
            <w:tcMar>
              <w:top w:type="dxa" w:w="60"/>
              <w:left w:type="dxa" w:w="80"/>
              <w:bottom w:type="dxa" w:w="60"/>
              <w:right w:type="dxa" w:w="80"/>
            </w:tcMar>
          </w:tcPr>
          <w:p>
            <w:r>
              <w:rPr>
                <w:b w:val="false"/>
                <w:bCs w:val="false"/>
                <w:sz w:val="20"/>
                <w:szCs w:val="20"/>
              </w:rPr>
              <w:t xml:space="preserve">0.50</w:t>
            </w:r>
          </w:p>
        </w:tc>
        <w:tc>
          <w:tcPr>
            <w:tcW w:type="dxa" w:w="2550"/>
            <w:tcMar>
              <w:top w:type="dxa" w:w="60"/>
              <w:left w:type="dxa" w:w="80"/>
              <w:bottom w:type="dxa" w:w="60"/>
              <w:right w:type="dxa" w:w="80"/>
            </w:tcMar>
          </w:tcPr>
          <w:p>
            <w:r>
              <w:rPr>
                <w:b w:val="false"/>
                <w:bCs w:val="false"/>
                <w:sz w:val="20"/>
                <w:szCs w:val="20"/>
              </w:rPr>
              <w:t xml:space="preserve">Base warning probability threshold</w:t>
            </w:r>
          </w:p>
        </w:tc>
      </w:tr>
      <w:tr>
        <w:tc>
          <w:tcPr>
            <w:tcW w:type="dxa" w:w="2000"/>
            <w:tcMar>
              <w:top w:type="dxa" w:w="60"/>
              <w:left w:type="dxa" w:w="80"/>
              <w:bottom w:type="dxa" w:w="60"/>
              <w:right w:type="dxa" w:w="80"/>
            </w:tcMar>
          </w:tcPr>
          <w:p>
            <w:r>
              <w:rPr>
                <w:b w:val="false"/>
                <w:bCs w:val="false"/>
                <w:sz w:val="20"/>
                <w:szCs w:val="20"/>
              </w:rPr>
              <w:t xml:space="preserve">Warning gating</w:t>
            </w:r>
          </w:p>
        </w:tc>
        <w:tc>
          <w:tcPr>
            <w:tcW w:type="dxa" w:w="2600"/>
            <w:tcMar>
              <w:top w:type="dxa" w:w="60"/>
              <w:left w:type="dxa" w:w="80"/>
              <w:bottom w:type="dxa" w:w="60"/>
              <w:right w:type="dxa" w:w="80"/>
            </w:tcMar>
          </w:tcPr>
          <w:p>
            <w:r>
              <w:rPr>
                <w:b w:val="false"/>
                <w:bCs w:val="false"/>
                <w:sz w:val="20"/>
                <w:szCs w:val="20"/>
              </w:rPr>
              <w:t xml:space="preserve">Δ_margin</w:t>
            </w:r>
          </w:p>
        </w:tc>
        <w:tc>
          <w:tcPr>
            <w:tcW w:type="dxa" w:w="2200"/>
            <w:tcMar>
              <w:top w:type="dxa" w:w="60"/>
              <w:left w:type="dxa" w:w="80"/>
              <w:bottom w:type="dxa" w:w="60"/>
              <w:right w:type="dxa" w:w="80"/>
            </w:tcMar>
          </w:tcPr>
          <w:p>
            <w:r>
              <w:rPr>
                <w:b w:val="false"/>
                <w:bCs w:val="false"/>
                <w:sz w:val="20"/>
                <w:szCs w:val="20"/>
              </w:rPr>
              <w:t xml:space="preserve">0.0338</w:t>
            </w:r>
          </w:p>
        </w:tc>
        <w:tc>
          <w:tcPr>
            <w:tcW w:type="dxa" w:w="2550"/>
            <w:tcMar>
              <w:top w:type="dxa" w:w="60"/>
              <w:left w:type="dxa" w:w="80"/>
              <w:bottom w:type="dxa" w:w="60"/>
              <w:right w:type="dxa" w:w="80"/>
            </w:tcMar>
          </w:tcPr>
          <w:p>
            <w:r>
              <w:rPr>
                <w:b w:val="false"/>
                <w:bCs w:val="false"/>
                <w:sz w:val="20"/>
                <w:szCs w:val="20"/>
              </w:rPr>
              <w:t xml:space="preserve">PR-swept warning margin gate</w:t>
            </w:r>
          </w:p>
        </w:tc>
      </w:tr>
      <w:tr>
        <w:tc>
          <w:tcPr>
            <w:tcW w:type="dxa" w:w="2000"/>
            <w:tcMar>
              <w:top w:type="dxa" w:w="60"/>
              <w:left w:type="dxa" w:w="80"/>
              <w:bottom w:type="dxa" w:w="60"/>
              <w:right w:type="dxa" w:w="80"/>
            </w:tcMar>
          </w:tcPr>
          <w:p>
            <w:r>
              <w:rPr>
                <w:b w:val="false"/>
                <w:bCs w:val="false"/>
                <w:sz w:val="20"/>
                <w:szCs w:val="20"/>
              </w:rPr>
              <w:t xml:space="preserve">Warning gating</w:t>
            </w:r>
          </w:p>
        </w:tc>
        <w:tc>
          <w:tcPr>
            <w:tcW w:type="dxa" w:w="2600"/>
            <w:tcMar>
              <w:top w:type="dxa" w:w="60"/>
              <w:left w:type="dxa" w:w="80"/>
              <w:bottom w:type="dxa" w:w="60"/>
              <w:right w:type="dxa" w:w="80"/>
            </w:tcMar>
          </w:tcPr>
          <w:p>
            <w:r>
              <w:rPr>
                <w:b w:val="false"/>
                <w:bCs w:val="false"/>
                <w:sz w:val="20"/>
                <w:szCs w:val="20"/>
              </w:rPr>
              <w:t xml:space="preserve">Δ_deficit</w:t>
            </w:r>
          </w:p>
        </w:tc>
        <w:tc>
          <w:tcPr>
            <w:tcW w:type="dxa" w:w="2200"/>
            <w:tcMar>
              <w:top w:type="dxa" w:w="60"/>
              <w:left w:type="dxa" w:w="80"/>
              <w:bottom w:type="dxa" w:w="60"/>
              <w:right w:type="dxa" w:w="80"/>
            </w:tcMar>
          </w:tcPr>
          <w:p>
            <w:r>
              <w:rPr>
                <w:b w:val="false"/>
                <w:bCs w:val="false"/>
                <w:sz w:val="20"/>
                <w:szCs w:val="20"/>
              </w:rPr>
              <w:t xml:space="preserve">0.03</w:t>
            </w:r>
          </w:p>
        </w:tc>
        <w:tc>
          <w:tcPr>
            <w:tcW w:type="dxa" w:w="2550"/>
            <w:tcMar>
              <w:top w:type="dxa" w:w="60"/>
              <w:left w:type="dxa" w:w="80"/>
              <w:bottom w:type="dxa" w:w="60"/>
              <w:right w:type="dxa" w:w="80"/>
            </w:tcMar>
          </w:tcPr>
          <w:p>
            <w:r>
              <w:rPr>
                <w:b w:val="false"/>
                <w:bCs w:val="false"/>
                <w:sz w:val="20"/>
                <w:szCs w:val="20"/>
              </w:rPr>
              <w:t xml:space="preserve">Near-miss tolerance</w:t>
            </w:r>
          </w:p>
        </w:tc>
      </w:tr>
      <w:tr>
        <w:tc>
          <w:tcPr>
            <w:tcW w:type="dxa" w:w="2000"/>
            <w:tcMar>
              <w:top w:type="dxa" w:w="60"/>
              <w:left w:type="dxa" w:w="80"/>
              <w:bottom w:type="dxa" w:w="60"/>
              <w:right w:type="dxa" w:w="80"/>
            </w:tcMar>
          </w:tcPr>
          <w:p>
            <w:r>
              <w:rPr>
                <w:b w:val="false"/>
                <w:bCs w:val="false"/>
                <w:sz w:val="20"/>
                <w:szCs w:val="20"/>
              </w:rPr>
              <w:t xml:space="preserve">Cooldowns</w:t>
            </w:r>
          </w:p>
        </w:tc>
        <w:tc>
          <w:tcPr>
            <w:tcW w:type="dxa" w:w="2600"/>
            <w:tcMar>
              <w:top w:type="dxa" w:w="60"/>
              <w:left w:type="dxa" w:w="80"/>
              <w:bottom w:type="dxa" w:w="60"/>
              <w:right w:type="dxa" w:w="80"/>
            </w:tcMar>
          </w:tcPr>
          <w:p>
            <w:r>
              <w:rPr>
                <w:b w:val="false"/>
                <w:bCs w:val="false"/>
                <w:sz w:val="20"/>
                <w:szCs w:val="20"/>
              </w:rPr>
              <w:t xml:space="preserve">N_anom / N_drift</w:t>
            </w:r>
          </w:p>
        </w:tc>
        <w:tc>
          <w:tcPr>
            <w:tcW w:type="dxa" w:w="2200"/>
            <w:tcMar>
              <w:top w:type="dxa" w:w="60"/>
              <w:left w:type="dxa" w:w="80"/>
              <w:bottom w:type="dxa" w:w="60"/>
              <w:right w:type="dxa" w:w="80"/>
            </w:tcMar>
          </w:tcPr>
          <w:p>
            <w:r>
              <w:rPr>
                <w:b w:val="false"/>
                <w:bCs w:val="false"/>
                <w:sz w:val="20"/>
                <w:szCs w:val="20"/>
              </w:rPr>
              <w:t xml:space="preserve">5 / 100 steps</w:t>
            </w:r>
          </w:p>
        </w:tc>
        <w:tc>
          <w:tcPr>
            <w:tcW w:type="dxa" w:w="2550"/>
            <w:tcMar>
              <w:top w:type="dxa" w:w="60"/>
              <w:left w:type="dxa" w:w="80"/>
              <w:bottom w:type="dxa" w:w="60"/>
              <w:right w:type="dxa" w:w="80"/>
            </w:tcMar>
          </w:tcPr>
          <w:p>
            <w:r>
              <w:rPr>
                <w:b w:val="false"/>
                <w:bCs w:val="false"/>
                <w:sz w:val="20"/>
                <w:szCs w:val="20"/>
              </w:rPr>
              <w:t xml:space="preserve">Prevents repeated triggering</w:t>
            </w:r>
          </w:p>
        </w:tc>
      </w:tr>
      <w:tr>
        <w:tc>
          <w:tcPr>
            <w:tcW w:type="dxa" w:w="2000"/>
            <w:tcMar>
              <w:top w:type="dxa" w:w="60"/>
              <w:left w:type="dxa" w:w="80"/>
              <w:bottom w:type="dxa" w:w="60"/>
              <w:right w:type="dxa" w:w="80"/>
            </w:tcMar>
          </w:tcPr>
          <w:p>
            <w:r>
              <w:rPr>
                <w:b w:val="false"/>
                <w:bCs w:val="false"/>
                <w:sz w:val="20"/>
                <w:szCs w:val="20"/>
              </w:rPr>
              <w:t xml:space="preserve">Alert mapping</w:t>
            </w:r>
          </w:p>
        </w:tc>
        <w:tc>
          <w:tcPr>
            <w:tcW w:type="dxa" w:w="2600"/>
            <w:tcMar>
              <w:top w:type="dxa" w:w="60"/>
              <w:left w:type="dxa" w:w="80"/>
              <w:bottom w:type="dxa" w:w="60"/>
              <w:right w:type="dxa" w:w="80"/>
            </w:tcMar>
          </w:tcPr>
          <w:p>
            <w:r>
              <w:rPr>
                <w:b w:val="false"/>
                <w:bCs w:val="false"/>
                <w:sz w:val="20"/>
                <w:szCs w:val="20"/>
              </w:rPr>
              <w:t xml:space="preserve">τ_low/med/high</w:t>
            </w:r>
          </w:p>
        </w:tc>
        <w:tc>
          <w:tcPr>
            <w:tcW w:type="dxa" w:w="2200"/>
            <w:tcMar>
              <w:top w:type="dxa" w:w="60"/>
              <w:left w:type="dxa" w:w="80"/>
              <w:bottom w:type="dxa" w:w="60"/>
              <w:right w:type="dxa" w:w="80"/>
            </w:tcMar>
          </w:tcPr>
          <w:p>
            <w:r>
              <w:rPr>
                <w:b w:val="false"/>
                <w:bCs w:val="false"/>
                <w:sz w:val="20"/>
                <w:szCs w:val="20"/>
              </w:rPr>
              <w:t xml:space="preserve">0.35 / 0.55 / 0.75</w:t>
            </w:r>
          </w:p>
        </w:tc>
        <w:tc>
          <w:tcPr>
            <w:tcW w:type="dxa" w:w="2550"/>
            <w:tcMar>
              <w:top w:type="dxa" w:w="60"/>
              <w:left w:type="dxa" w:w="80"/>
              <w:bottom w:type="dxa" w:w="60"/>
              <w:right w:type="dxa" w:w="80"/>
            </w:tcMar>
          </w:tcPr>
          <w:p>
            <w:r>
              <w:rPr>
                <w:b w:val="false"/>
                <w:bCs w:val="false"/>
                <w:sz w:val="20"/>
                <w:szCs w:val="20"/>
              </w:rPr>
              <w:t xml:space="preserve">Operational heuristics</w:t>
            </w:r>
          </w:p>
        </w:tc>
      </w:tr>
      <w:tr>
        <w:tc>
          <w:tcPr>
            <w:tcW w:type="dxa" w:w="2000"/>
            <w:tcMar>
              <w:top w:type="dxa" w:w="60"/>
              <w:left w:type="dxa" w:w="80"/>
              <w:bottom w:type="dxa" w:w="60"/>
              <w:right w:type="dxa" w:w="80"/>
            </w:tcMar>
          </w:tcPr>
          <w:p>
            <w:r>
              <w:rPr>
                <w:b w:val="false"/>
                <w:bCs w:val="false"/>
                <w:sz w:val="20"/>
                <w:szCs w:val="20"/>
              </w:rPr>
              <w:t xml:space="preserve">Sensor aggregation</w:t>
            </w:r>
          </w:p>
        </w:tc>
        <w:tc>
          <w:tcPr>
            <w:tcW w:type="dxa" w:w="2600"/>
            <w:tcMar>
              <w:top w:type="dxa" w:w="60"/>
              <w:left w:type="dxa" w:w="80"/>
              <w:bottom w:type="dxa" w:w="60"/>
              <w:right w:type="dxa" w:w="80"/>
            </w:tcMar>
          </w:tcPr>
          <w:p>
            <w:r>
              <w:rPr>
                <w:b w:val="false"/>
                <w:bCs w:val="false"/>
                <w:sz w:val="20"/>
                <w:szCs w:val="20"/>
              </w:rPr>
              <w:t xml:space="preserve">K (top-K)</w:t>
            </w:r>
          </w:p>
        </w:tc>
        <w:tc>
          <w:tcPr>
            <w:tcW w:type="dxa" w:w="2200"/>
            <w:tcMar>
              <w:top w:type="dxa" w:w="60"/>
              <w:left w:type="dxa" w:w="80"/>
              <w:bottom w:type="dxa" w:w="60"/>
              <w:right w:type="dxa" w:w="80"/>
            </w:tcMar>
          </w:tcPr>
          <w:p>
            <w:r>
              <w:rPr>
                <w:b w:val="false"/>
                <w:bCs w:val="false"/>
                <w:sz w:val="20"/>
                <w:szCs w:val="20"/>
              </w:rPr>
              <w:t xml:space="preserve">5</w:t>
            </w:r>
          </w:p>
        </w:tc>
        <w:tc>
          <w:tcPr>
            <w:tcW w:type="dxa" w:w="2550"/>
            <w:tcMar>
              <w:top w:type="dxa" w:w="60"/>
              <w:left w:type="dxa" w:w="80"/>
              <w:bottom w:type="dxa" w:w="60"/>
              <w:right w:type="dxa" w:w="80"/>
            </w:tcMar>
          </w:tcPr>
          <w:p>
            <w:r>
              <w:rPr>
                <w:b w:val="false"/>
                <w:bCs w:val="false"/>
                <w:sz w:val="20"/>
                <w:szCs w:val="20"/>
              </w:rPr>
              <w:t xml:space="preserve">Limits noisy-sensor dominance</w:t>
            </w:r>
          </w:p>
        </w:tc>
      </w:tr>
    </w:tbl>
    <w:p>
      <w:pPr>
        <w:spacing w:after="140"/>
      </w:pPr>
      <w:r>
        <w:rPr>
          <w:i/>
          <w:iCs/>
          <w:color w:val="555555"/>
          <w:sz w:val="20"/>
          <w:szCs w:val="20"/>
        </w:rPr>
        <w:t xml:space="preserve">Not published beyond ordering constraints: exact α_wss/α_sev/α_fds values (only α_wss ≫ α_sev &gt; α_fds is stated) and the exact Δ_margin_high/Δ_margin_low cut points used for the HIGH/MEDIUM/LOW warning-level split in Algorithm 1. These are ENGINEERING FILL-IN in the accompanying code (configs/policy_params.yaml) — calibrate them on your own pre-holdout split before trusting absolute numbers.</w:t>
      </w:r>
    </w:p>
    <w:p>
      <w:pPr>
        <w:pStyle w:val="Heading1"/>
        <w:spacing w:after="150" w:before="300"/>
      </w:pPr>
      <w:r>
        <w:t xml:space="preserve">5. Dataset — MetroPT-3</w:t>
      </w:r>
    </w:p>
    <w:p>
      <w:pPr>
        <w:spacing w:after="120"/>
      </w:pPr>
      <w:r>
        <w:t xml:space="preserve">A publicly available, real-world IIoT dataset (train compressor air-production unit), Davari et al. 2021, UCI ML Repository DOI 10.24432/C5VW3R. 1Hz logging by an onboard embedded device, 10-second sampling, 1,516,948 observations, Feb–Aug 2020, 15 raw sensor channels.</w:t>
      </w:r>
    </w:p>
    <w:p>
      <w:pPr>
        <w:pStyle w:val="Heading2"/>
        <w:spacing w:after="100" w:before="220"/>
      </w:pPr>
      <w:r>
        <w:t xml:space="preserve">5.1 Sensor selection</w:t>
      </w:r>
    </w:p>
    <w:p>
      <w:pPr>
        <w:spacing w:after="120"/>
      </w:pPr>
      <w:r>
        <w:t xml:space="preserve">Granger-causality correlation analysis removes 3 channels: Pressure_switch, Caudal_impulses, Oil_level. The remaining 12 are used: TP2, TP3, H1, DV pressure, Reservoirs, Oil Temperature, Motor Current, COMP, DV electric, TOWERS, MPG, LPS.</w:t>
      </w:r>
    </w:p>
    <w:p>
      <w:pPr>
        <w:pStyle w:val="Heading2"/>
        <w:spacing w:after="100" w:before="220"/>
      </w:pPr>
      <w:r>
        <w:t xml:space="preserve">5.2 Cleaning</w:t>
      </w:r>
    </w:p>
    <w:p>
      <w:pPr>
        <w:pStyle w:val="ListParagraph"/>
        <w:numPr>
          <w:ilvl w:val="0"/>
          <w:numId w:val="1"/>
        </w:numPr>
        <w:spacing w:after="60"/>
      </w:pPr>
      <w:r>
        <w:t xml:space="preserve">Data before 1 April 2020 excluded (constant/unreliable values).</w:t>
      </w:r>
    </w:p>
    <w:p>
      <w:pPr>
        <w:pStyle w:val="ListParagraph"/>
        <w:numPr>
          <w:ilvl w:val="0"/>
          <w:numId w:val="1"/>
        </w:numPr>
        <w:spacing w:after="60"/>
      </w:pPr>
      <w:r>
        <w:t xml:space="preserve">“?” values → NaN → imputed via one-day seasonal lag.</w:t>
      </w:r>
    </w:p>
    <w:p>
      <w:pPr>
        <w:pStyle w:val="ListParagraph"/>
        <w:numPr>
          <w:ilvl w:val="0"/>
          <w:numId w:val="1"/>
        </w:numPr>
        <w:spacing w:after="60"/>
      </w:pPr>
      <w:r>
        <w:t xml:space="preserve">Per-feature Min-Max scaling to [−1, 1], parameters stored per feature.</w:t>
      </w:r>
    </w:p>
    <w:p>
      <w:pPr>
        <w:pStyle w:val="Heading2"/>
        <w:spacing w:after="100" w:before="220"/>
      </w:pPr>
      <w:r>
        <w:t xml:space="preserve">5.3 Windowing &amp; labelling</w:t>
      </w:r>
    </w:p>
    <w:p>
      <w:pPr>
        <w:pStyle w:val="ListParagraph"/>
        <w:numPr>
          <w:ilvl w:val="0"/>
          <w:numId w:val="1"/>
        </w:numPr>
        <w:spacing w:after="60"/>
      </w:pPr>
      <w:r>
        <w:t xml:space="preserve">Sliding windows W=100 (≈ 1000s / 16.7 min), stride=1, window aligned to its final timestamp.</w:t>
      </w:r>
    </w:p>
    <w:p>
      <w:pPr>
        <w:pStyle w:val="ListParagraph"/>
        <w:numPr>
          <w:ilvl w:val="0"/>
          <w:numId w:val="1"/>
        </w:numPr>
        <w:spacing w:after="60"/>
      </w:pPr>
      <w:r>
        <w:t xml:space="preserve">Point labels: fault-in-progress (inside a failure interval) and early-warning (within H=2h before a failure).</w:t>
      </w:r>
    </w:p>
    <w:p>
      <w:pPr>
        <w:pStyle w:val="ListParagraph"/>
        <w:numPr>
          <w:ilvl w:val="0"/>
          <w:numId w:val="1"/>
        </w:numPr>
        <w:spacing w:after="60"/>
      </w:pPr>
      <w:r>
        <w:t xml:space="preserve">Window label via any-point rule over {Normal(0), Warning(1), Fault(2)}; Fault overrides Warning.</w:t>
      </w:r>
    </w:p>
    <w:p>
      <w:pPr>
        <w:pStyle w:val="Heading2"/>
        <w:spacing w:after="100" w:before="220"/>
      </w:pPr>
      <w:r>
        <w:t xml:space="preserve">5.4 Failure events (Table 2, PAPER-REPORTED)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500"/>
        <w:gridCol w:w="1900"/>
        <w:gridCol w:w="1900"/>
      </w:tblGrid>
      <w:tr>
        <w:trPr>
          <w:tblHeader/>
        </w:trPr>
        <w:tc>
          <w:tcPr>
            <w:tcW w:type="dxa" w:w="900"/>
            <w:shd w:fill="EAF2FB" w:val="clear"/>
            <w:tcMar>
              <w:top w:type="dxa" w:w="60"/>
              <w:left w:type="dxa" w:w="80"/>
              <w:bottom w:type="dxa" w:w="60"/>
              <w:right w:type="dxa" w:w="80"/>
            </w:tcMar>
          </w:tcPr>
          <w:p>
            <w:r>
              <w:rPr>
                <w:b/>
                <w:bCs/>
                <w:sz w:val="20"/>
                <w:szCs w:val="20"/>
              </w:rPr>
              <w:t xml:space="preserve">#</w:t>
            </w:r>
          </w:p>
        </w:tc>
        <w:tc>
          <w:tcPr>
            <w:tcW w:type="dxa" w:w="2500"/>
            <w:shd w:fill="EAF2FB" w:val="clear"/>
            <w:tcMar>
              <w:top w:type="dxa" w:w="60"/>
              <w:left w:type="dxa" w:w="80"/>
              <w:bottom w:type="dxa" w:w="60"/>
              <w:right w:type="dxa" w:w="80"/>
            </w:tcMar>
          </w:tcPr>
          <w:p>
            <w:r>
              <w:rPr>
                <w:b/>
                <w:bCs/>
                <w:sz w:val="20"/>
                <w:szCs w:val="20"/>
              </w:rPr>
              <w:t xml:space="preserve">Start</w:t>
            </w:r>
          </w:p>
        </w:tc>
        <w:tc>
          <w:tcPr>
            <w:tcW w:type="dxa" w:w="2500"/>
            <w:shd w:fill="EAF2FB" w:val="clear"/>
            <w:tcMar>
              <w:top w:type="dxa" w:w="60"/>
              <w:left w:type="dxa" w:w="80"/>
              <w:bottom w:type="dxa" w:w="60"/>
              <w:right w:type="dxa" w:w="80"/>
            </w:tcMar>
          </w:tcPr>
          <w:p>
            <w:r>
              <w:rPr>
                <w:b/>
                <w:bCs/>
                <w:sz w:val="20"/>
                <w:szCs w:val="20"/>
              </w:rPr>
              <w:t xml:space="preserve">End</w:t>
            </w:r>
          </w:p>
        </w:tc>
        <w:tc>
          <w:tcPr>
            <w:tcW w:type="dxa" w:w="1900"/>
            <w:shd w:fill="EAF2FB" w:val="clear"/>
            <w:tcMar>
              <w:top w:type="dxa" w:w="60"/>
              <w:left w:type="dxa" w:w="80"/>
              <w:bottom w:type="dxa" w:w="60"/>
              <w:right w:type="dxa" w:w="80"/>
            </w:tcMar>
          </w:tcPr>
          <w:p>
            <w:r>
              <w:rPr>
                <w:b/>
                <w:bCs/>
                <w:sz w:val="20"/>
                <w:szCs w:val="20"/>
              </w:rPr>
              <w:t xml:space="preserve">Type</w:t>
            </w:r>
          </w:p>
        </w:tc>
        <w:tc>
          <w:tcPr>
            <w:tcW w:type="dxa" w:w="1900"/>
            <w:shd w:fill="EAF2FB" w:val="clear"/>
            <w:tcMar>
              <w:top w:type="dxa" w:w="60"/>
              <w:left w:type="dxa" w:w="80"/>
              <w:bottom w:type="dxa" w:w="60"/>
              <w:right w:type="dxa" w:w="80"/>
            </w:tcMar>
          </w:tcPr>
          <w:p>
            <w:r>
              <w:rPr>
                <w:b/>
                <w:bCs/>
                <w:sz w:val="20"/>
                <w:szCs w:val="20"/>
              </w:rPr>
              <w:t xml:space="preserve">Severity</w:t>
            </w:r>
          </w:p>
        </w:tc>
      </w:tr>
      <w:tr>
        <w:tc>
          <w:tcPr>
            <w:tcW w:type="dxa" w:w="900"/>
            <w:tcMar>
              <w:top w:type="dxa" w:w="60"/>
              <w:left w:type="dxa" w:w="80"/>
              <w:bottom w:type="dxa" w:w="60"/>
              <w:right w:type="dxa" w:w="80"/>
            </w:tcMar>
          </w:tcPr>
          <w:p>
            <w:r>
              <w:rPr>
                <w:b w:val="false"/>
                <w:bCs w:val="false"/>
                <w:sz w:val="20"/>
                <w:szCs w:val="20"/>
              </w:rPr>
              <w:t xml:space="preserve">1</w:t>
            </w:r>
          </w:p>
        </w:tc>
        <w:tc>
          <w:tcPr>
            <w:tcW w:type="dxa" w:w="2500"/>
            <w:tcMar>
              <w:top w:type="dxa" w:w="60"/>
              <w:left w:type="dxa" w:w="80"/>
              <w:bottom w:type="dxa" w:w="60"/>
              <w:right w:type="dxa" w:w="80"/>
            </w:tcMar>
          </w:tcPr>
          <w:p>
            <w:r>
              <w:rPr>
                <w:b w:val="false"/>
                <w:bCs w:val="false"/>
                <w:sz w:val="20"/>
                <w:szCs w:val="20"/>
              </w:rPr>
              <w:t xml:space="preserve">2020-04-18 00:00</w:t>
            </w:r>
          </w:p>
        </w:tc>
        <w:tc>
          <w:tcPr>
            <w:tcW w:type="dxa" w:w="2500"/>
            <w:tcMar>
              <w:top w:type="dxa" w:w="60"/>
              <w:left w:type="dxa" w:w="80"/>
              <w:bottom w:type="dxa" w:w="60"/>
              <w:right w:type="dxa" w:w="80"/>
            </w:tcMar>
          </w:tcPr>
          <w:p>
            <w:r>
              <w:rPr>
                <w:b w:val="false"/>
                <w:bCs w:val="false"/>
                <w:sz w:val="20"/>
                <w:szCs w:val="20"/>
              </w:rPr>
              <w:t xml:space="preserve">2020-04-18 23:59</w:t>
            </w:r>
          </w:p>
        </w:tc>
        <w:tc>
          <w:tcPr>
            <w:tcW w:type="dxa" w:w="1900"/>
            <w:tcMar>
              <w:top w:type="dxa" w:w="60"/>
              <w:left w:type="dxa" w:w="80"/>
              <w:bottom w:type="dxa" w:w="60"/>
              <w:right w:type="dxa" w:w="80"/>
            </w:tcMar>
          </w:tcPr>
          <w:p>
            <w:r>
              <w:rPr>
                <w:b w:val="false"/>
                <w:bCs w:val="false"/>
                <w:sz w:val="20"/>
                <w:szCs w:val="20"/>
              </w:rPr>
              <w:t xml:space="preserve">Air leak</w:t>
            </w:r>
          </w:p>
        </w:tc>
        <w:tc>
          <w:tcPr>
            <w:tcW w:type="dxa" w:w="1900"/>
            <w:tcMar>
              <w:top w:type="dxa" w:w="60"/>
              <w:left w:type="dxa" w:w="80"/>
              <w:bottom w:type="dxa" w:w="60"/>
              <w:right w:type="dxa" w:w="80"/>
            </w:tcMar>
          </w:tcPr>
          <w:p>
            <w:r>
              <w:rPr>
                <w:b w:val="false"/>
                <w:bCs w:val="false"/>
                <w:sz w:val="20"/>
                <w:szCs w:val="20"/>
              </w:rPr>
              <w:t xml:space="preserve">High stress</w:t>
            </w:r>
          </w:p>
        </w:tc>
      </w:tr>
      <w:tr>
        <w:tc>
          <w:tcPr>
            <w:tcW w:type="dxa" w:w="900"/>
            <w:tcMar>
              <w:top w:type="dxa" w:w="60"/>
              <w:left w:type="dxa" w:w="80"/>
              <w:bottom w:type="dxa" w:w="60"/>
              <w:right w:type="dxa" w:w="80"/>
            </w:tcMar>
          </w:tcPr>
          <w:p>
            <w:r>
              <w:rPr>
                <w:b w:val="false"/>
                <w:bCs w:val="false"/>
                <w:sz w:val="20"/>
                <w:szCs w:val="20"/>
              </w:rPr>
              <w:t xml:space="preserve">2</w:t>
            </w:r>
          </w:p>
        </w:tc>
        <w:tc>
          <w:tcPr>
            <w:tcW w:type="dxa" w:w="2500"/>
            <w:tcMar>
              <w:top w:type="dxa" w:w="60"/>
              <w:left w:type="dxa" w:w="80"/>
              <w:bottom w:type="dxa" w:w="60"/>
              <w:right w:type="dxa" w:w="80"/>
            </w:tcMar>
          </w:tcPr>
          <w:p>
            <w:r>
              <w:rPr>
                <w:b w:val="false"/>
                <w:bCs w:val="false"/>
                <w:sz w:val="20"/>
                <w:szCs w:val="20"/>
              </w:rPr>
              <w:t xml:space="preserve">2020-05-29 23:30</w:t>
            </w:r>
          </w:p>
        </w:tc>
        <w:tc>
          <w:tcPr>
            <w:tcW w:type="dxa" w:w="2500"/>
            <w:tcMar>
              <w:top w:type="dxa" w:w="60"/>
              <w:left w:type="dxa" w:w="80"/>
              <w:bottom w:type="dxa" w:w="60"/>
              <w:right w:type="dxa" w:w="80"/>
            </w:tcMar>
          </w:tcPr>
          <w:p>
            <w:r>
              <w:rPr>
                <w:b w:val="false"/>
                <w:bCs w:val="false"/>
                <w:sz w:val="20"/>
                <w:szCs w:val="20"/>
              </w:rPr>
              <w:t xml:space="preserve">2020-05-30 06:00</w:t>
            </w:r>
          </w:p>
        </w:tc>
        <w:tc>
          <w:tcPr>
            <w:tcW w:type="dxa" w:w="1900"/>
            <w:tcMar>
              <w:top w:type="dxa" w:w="60"/>
              <w:left w:type="dxa" w:w="80"/>
              <w:bottom w:type="dxa" w:w="60"/>
              <w:right w:type="dxa" w:w="80"/>
            </w:tcMar>
          </w:tcPr>
          <w:p>
            <w:r>
              <w:rPr>
                <w:b w:val="false"/>
                <w:bCs w:val="false"/>
                <w:sz w:val="20"/>
                <w:szCs w:val="20"/>
              </w:rPr>
              <w:t xml:space="preserve">Air leak</w:t>
            </w:r>
          </w:p>
        </w:tc>
        <w:tc>
          <w:tcPr>
            <w:tcW w:type="dxa" w:w="1900"/>
            <w:tcMar>
              <w:top w:type="dxa" w:w="60"/>
              <w:left w:type="dxa" w:w="80"/>
              <w:bottom w:type="dxa" w:w="60"/>
              <w:right w:type="dxa" w:w="80"/>
            </w:tcMar>
          </w:tcPr>
          <w:p>
            <w:r>
              <w:rPr>
                <w:b w:val="false"/>
                <w:bCs w:val="false"/>
                <w:sz w:val="20"/>
                <w:szCs w:val="20"/>
              </w:rPr>
              <w:t xml:space="preserve">High stress</w:t>
            </w:r>
          </w:p>
        </w:tc>
      </w:tr>
      <w:tr>
        <w:tc>
          <w:tcPr>
            <w:tcW w:type="dxa" w:w="900"/>
            <w:tcMar>
              <w:top w:type="dxa" w:w="60"/>
              <w:left w:type="dxa" w:w="80"/>
              <w:bottom w:type="dxa" w:w="60"/>
              <w:right w:type="dxa" w:w="80"/>
            </w:tcMar>
          </w:tcPr>
          <w:p>
            <w:r>
              <w:rPr>
                <w:b w:val="false"/>
                <w:bCs w:val="false"/>
                <w:sz w:val="20"/>
                <w:szCs w:val="20"/>
              </w:rPr>
              <w:t xml:space="preserve">3</w:t>
            </w:r>
          </w:p>
        </w:tc>
        <w:tc>
          <w:tcPr>
            <w:tcW w:type="dxa" w:w="2500"/>
            <w:tcMar>
              <w:top w:type="dxa" w:w="60"/>
              <w:left w:type="dxa" w:w="80"/>
              <w:bottom w:type="dxa" w:w="60"/>
              <w:right w:type="dxa" w:w="80"/>
            </w:tcMar>
          </w:tcPr>
          <w:p>
            <w:r>
              <w:rPr>
                <w:b w:val="false"/>
                <w:bCs w:val="false"/>
                <w:sz w:val="20"/>
                <w:szCs w:val="20"/>
              </w:rPr>
              <w:t xml:space="preserve">2020-06-05 10:00</w:t>
            </w:r>
          </w:p>
        </w:tc>
        <w:tc>
          <w:tcPr>
            <w:tcW w:type="dxa" w:w="2500"/>
            <w:tcMar>
              <w:top w:type="dxa" w:w="60"/>
              <w:left w:type="dxa" w:w="80"/>
              <w:bottom w:type="dxa" w:w="60"/>
              <w:right w:type="dxa" w:w="80"/>
            </w:tcMar>
          </w:tcPr>
          <w:p>
            <w:r>
              <w:rPr>
                <w:b w:val="false"/>
                <w:bCs w:val="false"/>
                <w:sz w:val="20"/>
                <w:szCs w:val="20"/>
              </w:rPr>
              <w:t xml:space="preserve">2020-06-07 14:30</w:t>
            </w:r>
          </w:p>
        </w:tc>
        <w:tc>
          <w:tcPr>
            <w:tcW w:type="dxa" w:w="1900"/>
            <w:tcMar>
              <w:top w:type="dxa" w:w="60"/>
              <w:left w:type="dxa" w:w="80"/>
              <w:bottom w:type="dxa" w:w="60"/>
              <w:right w:type="dxa" w:w="80"/>
            </w:tcMar>
          </w:tcPr>
          <w:p>
            <w:r>
              <w:rPr>
                <w:b w:val="false"/>
                <w:bCs w:val="false"/>
                <w:sz w:val="20"/>
                <w:szCs w:val="20"/>
              </w:rPr>
              <w:t xml:space="preserve">Air leak</w:t>
            </w:r>
          </w:p>
        </w:tc>
        <w:tc>
          <w:tcPr>
            <w:tcW w:type="dxa" w:w="1900"/>
            <w:tcMar>
              <w:top w:type="dxa" w:w="60"/>
              <w:left w:type="dxa" w:w="80"/>
              <w:bottom w:type="dxa" w:w="60"/>
              <w:right w:type="dxa" w:w="80"/>
            </w:tcMar>
          </w:tcPr>
          <w:p>
            <w:r>
              <w:rPr>
                <w:b w:val="false"/>
                <w:bCs w:val="false"/>
                <w:sz w:val="20"/>
                <w:szCs w:val="20"/>
              </w:rPr>
              <w:t xml:space="preserve">High stress</w:t>
            </w:r>
          </w:p>
        </w:tc>
      </w:tr>
      <w:tr>
        <w:tc>
          <w:tcPr>
            <w:tcW w:type="dxa" w:w="900"/>
            <w:tcMar>
              <w:top w:type="dxa" w:w="60"/>
              <w:left w:type="dxa" w:w="80"/>
              <w:bottom w:type="dxa" w:w="60"/>
              <w:right w:type="dxa" w:w="80"/>
            </w:tcMar>
          </w:tcPr>
          <w:p>
            <w:r>
              <w:rPr>
                <w:b w:val="false"/>
                <w:bCs w:val="false"/>
                <w:sz w:val="20"/>
                <w:szCs w:val="20"/>
              </w:rPr>
              <w:t xml:space="preserve">4</w:t>
            </w:r>
          </w:p>
        </w:tc>
        <w:tc>
          <w:tcPr>
            <w:tcW w:type="dxa" w:w="2500"/>
            <w:tcMar>
              <w:top w:type="dxa" w:w="60"/>
              <w:left w:type="dxa" w:w="80"/>
              <w:bottom w:type="dxa" w:w="60"/>
              <w:right w:type="dxa" w:w="80"/>
            </w:tcMar>
          </w:tcPr>
          <w:p>
            <w:r>
              <w:rPr>
                <w:b w:val="false"/>
                <w:bCs w:val="false"/>
                <w:sz w:val="20"/>
                <w:szCs w:val="20"/>
              </w:rPr>
              <w:t xml:space="preserve">2020-07-15 14:30</w:t>
            </w:r>
          </w:p>
        </w:tc>
        <w:tc>
          <w:tcPr>
            <w:tcW w:type="dxa" w:w="2500"/>
            <w:tcMar>
              <w:top w:type="dxa" w:w="60"/>
              <w:left w:type="dxa" w:w="80"/>
              <w:bottom w:type="dxa" w:w="60"/>
              <w:right w:type="dxa" w:w="80"/>
            </w:tcMar>
          </w:tcPr>
          <w:p>
            <w:r>
              <w:rPr>
                <w:b w:val="false"/>
                <w:bCs w:val="false"/>
                <w:sz w:val="20"/>
                <w:szCs w:val="20"/>
              </w:rPr>
              <w:t xml:space="preserve">2020-07-15 19:00</w:t>
            </w:r>
          </w:p>
        </w:tc>
        <w:tc>
          <w:tcPr>
            <w:tcW w:type="dxa" w:w="1900"/>
            <w:tcMar>
              <w:top w:type="dxa" w:w="60"/>
              <w:left w:type="dxa" w:w="80"/>
              <w:bottom w:type="dxa" w:w="60"/>
              <w:right w:type="dxa" w:w="80"/>
            </w:tcMar>
          </w:tcPr>
          <w:p>
            <w:r>
              <w:rPr>
                <w:b w:val="false"/>
                <w:bCs w:val="false"/>
                <w:sz w:val="20"/>
                <w:szCs w:val="20"/>
              </w:rPr>
              <w:t xml:space="preserve">Air leak</w:t>
            </w:r>
          </w:p>
        </w:tc>
        <w:tc>
          <w:tcPr>
            <w:tcW w:type="dxa" w:w="1900"/>
            <w:tcMar>
              <w:top w:type="dxa" w:w="60"/>
              <w:left w:type="dxa" w:w="80"/>
              <w:bottom w:type="dxa" w:w="60"/>
              <w:right w:type="dxa" w:w="80"/>
            </w:tcMar>
          </w:tcPr>
          <w:p>
            <w:r>
              <w:rPr>
                <w:b w:val="false"/>
                <w:bCs w:val="false"/>
                <w:sz w:val="20"/>
                <w:szCs w:val="20"/>
              </w:rPr>
              <w:t xml:space="preserve">High stress</w:t>
            </w:r>
          </w:p>
        </w:tc>
      </w:tr>
    </w:tbl>
    <w:p>
      <w:pPr>
        <w:pStyle w:val="Heading2"/>
        <w:spacing w:after="100" w:before="220"/>
      </w:pPr>
      <w:r>
        <w:t xml:space="preserve">5.5 Chronology-aware, fault-aware split</w:t>
      </w:r>
    </w:p>
    <w:p>
      <w:pPr>
        <w:pStyle w:val="ListParagraph"/>
        <w:numPr>
          <w:ilvl w:val="0"/>
          <w:numId w:val="1"/>
        </w:numPr>
        <w:spacing w:after="60"/>
      </w:pPr>
      <w:r>
        <w:t xml:space="preserve">Train: everything before Failure 3's early-warning start.</w:t>
      </w:r>
    </w:p>
    <w:p>
      <w:pPr>
        <w:pStyle w:val="ListParagraph"/>
        <w:numPr>
          <w:ilvl w:val="0"/>
          <w:numId w:val="1"/>
        </w:numPr>
        <w:spacing w:after="60"/>
      </w:pPr>
      <w:r>
        <w:t xml:space="preserve">Test: the entire Failure-3 interval (used for calibration only, never for final reporting).</w:t>
      </w:r>
    </w:p>
    <w:p>
      <w:pPr>
        <w:pStyle w:val="ListParagraph"/>
        <w:numPr>
          <w:ilvl w:val="0"/>
          <w:numId w:val="1"/>
        </w:numPr>
        <w:spacing w:after="60"/>
      </w:pPr>
      <w:r>
        <w:t xml:space="preserve">Holdout: everything after Failure 3, which contains all of Failure 4 — reserved exclusively for final evaluation, never touched during threshold calibration.</w:t>
      </w:r>
    </w:p>
    <w:p>
      <w:pPr>
        <w:spacing w:after="140"/>
      </w:pPr>
      <w:r>
        <w:rPr>
          <w:i/>
          <w:iCs/>
          <w:color w:val="555555"/>
          <w:sz w:val="20"/>
          <w:szCs w:val="20"/>
        </w:rPr>
        <w:t xml:space="preserve">Exact window counts per split are not published beyond the aggregate 1,516,948-observation total and the 4 failure windows — only the split LOGIC is specified precisely enough to reproduce; your own counts will differ slightly depending on exact row alignment.</w:t>
      </w:r>
    </w:p>
    <w:p>
      <w:pPr>
        <w:pStyle w:val="Heading1"/>
        <w:spacing w:after="150" w:before="300"/>
      </w:pPr>
      <w:r>
        <w:t xml:space="preserve">6. Project Plan — Phased Rebuild</w:t>
      </w:r>
    </w:p>
    <w:p>
      <w:pPr>
        <w:spacing w:after="120"/>
      </w:pPr>
      <w:r>
        <w:t xml:space="preserve">This mirrors exactly the pipeline order in the accompanying code package (src/*.py).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2550"/>
      </w:tblGrid>
      <w:tr>
        <w:trPr>
          <w:tblHeader/>
        </w:trPr>
        <w:tc>
          <w:tcPr>
            <w:tcW w:type="dxa" w:w="1600"/>
            <w:shd w:fill="EAF2FB" w:val="clear"/>
            <w:tcMar>
              <w:top w:type="dxa" w:w="60"/>
              <w:left w:type="dxa" w:w="80"/>
              <w:bottom w:type="dxa" w:w="60"/>
              <w:right w:type="dxa" w:w="80"/>
            </w:tcMar>
          </w:tcPr>
          <w:p>
            <w:r>
              <w:rPr>
                <w:b/>
                <w:bCs/>
                <w:sz w:val="20"/>
                <w:szCs w:val="20"/>
              </w:rPr>
              <w:t xml:space="preserve">Phase</w:t>
            </w:r>
          </w:p>
        </w:tc>
        <w:tc>
          <w:tcPr>
            <w:tcW w:type="dxa" w:w="5200"/>
            <w:shd w:fill="EAF2FB" w:val="clear"/>
            <w:tcMar>
              <w:top w:type="dxa" w:w="60"/>
              <w:left w:type="dxa" w:w="80"/>
              <w:bottom w:type="dxa" w:w="60"/>
              <w:right w:type="dxa" w:w="80"/>
            </w:tcMar>
          </w:tcPr>
          <w:p>
            <w:r>
              <w:rPr>
                <w:b/>
                <w:bCs/>
                <w:sz w:val="20"/>
                <w:szCs w:val="20"/>
              </w:rPr>
              <w:t xml:space="preserve">Steps</w:t>
            </w:r>
          </w:p>
        </w:tc>
        <w:tc>
          <w:tcPr>
            <w:tcW w:type="dxa" w:w="2550"/>
            <w:shd w:fill="EAF2FB" w:val="clear"/>
            <w:tcMar>
              <w:top w:type="dxa" w:w="60"/>
              <w:left w:type="dxa" w:w="80"/>
              <w:bottom w:type="dxa" w:w="60"/>
              <w:right w:type="dxa" w:w="80"/>
            </w:tcMar>
          </w:tcPr>
          <w:p>
            <w:r>
              <w:rPr>
                <w:b/>
                <w:bCs/>
                <w:sz w:val="20"/>
                <w:szCs w:val="20"/>
              </w:rPr>
              <w:t xml:space="preserve">Output</w:t>
            </w:r>
          </w:p>
        </w:tc>
      </w:tr>
      <w:tr>
        <w:tc>
          <w:tcPr>
            <w:tcW w:type="dxa" w:w="1600"/>
            <w:tcMar>
              <w:top w:type="dxa" w:w="60"/>
              <w:left w:type="dxa" w:w="80"/>
              <w:bottom w:type="dxa" w:w="60"/>
              <w:right w:type="dxa" w:w="80"/>
            </w:tcMar>
          </w:tcPr>
          <w:p>
            <w:r>
              <w:rPr>
                <w:b w:val="false"/>
                <w:bCs w:val="false"/>
                <w:sz w:val="20"/>
                <w:szCs w:val="20"/>
              </w:rPr>
              <w:t xml:space="preserve">0. Environment</w:t>
            </w:r>
          </w:p>
        </w:tc>
        <w:tc>
          <w:tcPr>
            <w:tcW w:type="dxa" w:w="5200"/>
            <w:tcMar>
              <w:top w:type="dxa" w:w="60"/>
              <w:left w:type="dxa" w:w="80"/>
              <w:bottom w:type="dxa" w:w="60"/>
              <w:right w:type="dxa" w:w="80"/>
            </w:tcMar>
          </w:tcPr>
          <w:p>
            <w:r>
              <w:rPr>
                <w:b w:val="false"/>
                <w:bCs w:val="false"/>
                <w:sz w:val="20"/>
                <w:szCs w:val="20"/>
              </w:rPr>
              <w:t xml:space="preserve">Install Python 3.10+, TensorFlow/Keras, NumPy/SciPy/scikit-learn, PyYAML, openai SDK (requirements.txt).</w:t>
            </w:r>
          </w:p>
        </w:tc>
        <w:tc>
          <w:tcPr>
            <w:tcW w:type="dxa" w:w="2550"/>
            <w:tcMar>
              <w:top w:type="dxa" w:w="60"/>
              <w:left w:type="dxa" w:w="80"/>
              <w:bottom w:type="dxa" w:w="60"/>
              <w:right w:type="dxa" w:w="80"/>
            </w:tcMar>
          </w:tcPr>
          <w:p>
            <w:r>
              <w:rPr>
                <w:b w:val="false"/>
                <w:bCs w:val="false"/>
                <w:sz w:val="20"/>
                <w:szCs w:val="20"/>
              </w:rPr>
              <w:t xml:space="preserve">Working env</w:t>
            </w:r>
          </w:p>
        </w:tc>
      </w:tr>
      <w:tr>
        <w:tc>
          <w:tcPr>
            <w:tcW w:type="dxa" w:w="1600"/>
            <w:tcMar>
              <w:top w:type="dxa" w:w="60"/>
              <w:left w:type="dxa" w:w="80"/>
              <w:bottom w:type="dxa" w:w="60"/>
              <w:right w:type="dxa" w:w="80"/>
            </w:tcMar>
          </w:tcPr>
          <w:p>
            <w:r>
              <w:rPr>
                <w:b w:val="false"/>
                <w:bCs w:val="false"/>
                <w:sz w:val="20"/>
                <w:szCs w:val="20"/>
              </w:rPr>
              <w:t xml:space="preserve">1. Data acquisition</w:t>
            </w:r>
          </w:p>
        </w:tc>
        <w:tc>
          <w:tcPr>
            <w:tcW w:type="dxa" w:w="5200"/>
            <w:tcMar>
              <w:top w:type="dxa" w:w="60"/>
              <w:left w:type="dxa" w:w="80"/>
              <w:bottom w:type="dxa" w:w="60"/>
              <w:right w:type="dxa" w:w="80"/>
            </w:tcMar>
          </w:tcPr>
          <w:p>
            <w:r>
              <w:rPr>
                <w:b w:val="false"/>
                <w:bCs w:val="false"/>
                <w:sz w:val="20"/>
                <w:szCs w:val="20"/>
              </w:rPr>
              <w:t xml:space="preserve">Download MetroPT-3 from UCI (id 791, DOI 10.24432/C5VW3R) or Kaggle mirror. Place as data/metropt3_raw.csv.</w:t>
            </w:r>
          </w:p>
        </w:tc>
        <w:tc>
          <w:tcPr>
            <w:tcW w:type="dxa" w:w="2550"/>
            <w:tcMar>
              <w:top w:type="dxa" w:w="60"/>
              <w:left w:type="dxa" w:w="80"/>
              <w:bottom w:type="dxa" w:w="60"/>
              <w:right w:type="dxa" w:w="80"/>
            </w:tcMar>
          </w:tcPr>
          <w:p>
            <w:r>
              <w:rPr>
                <w:b w:val="false"/>
                <w:bCs w:val="false"/>
                <w:sz w:val="20"/>
                <w:szCs w:val="20"/>
              </w:rPr>
              <w:t xml:space="preserve">Raw CSV</w:t>
            </w:r>
          </w:p>
        </w:tc>
      </w:tr>
      <w:tr>
        <w:tc>
          <w:tcPr>
            <w:tcW w:type="dxa" w:w="1600"/>
            <w:tcMar>
              <w:top w:type="dxa" w:w="60"/>
              <w:left w:type="dxa" w:w="80"/>
              <w:bottom w:type="dxa" w:w="60"/>
              <w:right w:type="dxa" w:w="80"/>
            </w:tcMar>
          </w:tcPr>
          <w:p>
            <w:r>
              <w:rPr>
                <w:b w:val="false"/>
                <w:bCs w:val="false"/>
                <w:sz w:val="20"/>
                <w:szCs w:val="20"/>
              </w:rPr>
              <w:t xml:space="preserve">2. Preprocessing</w:t>
            </w:r>
          </w:p>
        </w:tc>
        <w:tc>
          <w:tcPr>
            <w:tcW w:type="dxa" w:w="5200"/>
            <w:tcMar>
              <w:top w:type="dxa" w:w="60"/>
              <w:left w:type="dxa" w:w="80"/>
              <w:bottom w:type="dxa" w:w="60"/>
              <w:right w:type="dxa" w:w="80"/>
            </w:tcMar>
          </w:tcPr>
          <w:p>
            <w:r>
              <w:rPr>
                <w:b w:val="false"/>
                <w:bCs w:val="false"/>
                <w:sz w:val="20"/>
                <w:szCs w:val="20"/>
              </w:rPr>
              <w:t xml:space="preserve">Run src/data_pipeline.py: sensor selection, date filter, imputation, min-max scaling, windowing, labelling, chronology split.</w:t>
            </w:r>
          </w:p>
        </w:tc>
        <w:tc>
          <w:tcPr>
            <w:tcW w:type="dxa" w:w="2550"/>
            <w:tcMar>
              <w:top w:type="dxa" w:w="60"/>
              <w:left w:type="dxa" w:w="80"/>
              <w:bottom w:type="dxa" w:w="60"/>
              <w:right w:type="dxa" w:w="80"/>
            </w:tcMar>
          </w:tcPr>
          <w:p>
            <w:r>
              <w:rPr>
                <w:b w:val="false"/>
                <w:bCs w:val="false"/>
                <w:sz w:val="20"/>
                <w:szCs w:val="20"/>
              </w:rPr>
              <w:t xml:space="preserve">data/processed/windows.npz</w:t>
            </w:r>
          </w:p>
        </w:tc>
      </w:tr>
      <w:tr>
        <w:tc>
          <w:tcPr>
            <w:tcW w:type="dxa" w:w="1600"/>
            <w:tcMar>
              <w:top w:type="dxa" w:w="60"/>
              <w:left w:type="dxa" w:w="80"/>
              <w:bottom w:type="dxa" w:w="60"/>
              <w:right w:type="dxa" w:w="80"/>
            </w:tcMar>
          </w:tcPr>
          <w:p>
            <w:r>
              <w:rPr>
                <w:b w:val="false"/>
                <w:bCs w:val="false"/>
                <w:sz w:val="20"/>
                <w:szCs w:val="20"/>
              </w:rPr>
              <w:t xml:space="preserve">3. Sensor Agents</w:t>
            </w:r>
          </w:p>
        </w:tc>
        <w:tc>
          <w:tcPr>
            <w:tcW w:type="dxa" w:w="5200"/>
            <w:tcMar>
              <w:top w:type="dxa" w:w="60"/>
              <w:left w:type="dxa" w:w="80"/>
              <w:bottom w:type="dxa" w:w="60"/>
              <w:right w:type="dxa" w:w="80"/>
            </w:tcMar>
          </w:tcPr>
          <w:p>
            <w:r>
              <w:rPr>
                <w:b w:val="false"/>
                <w:bCs w:val="false"/>
                <w:sz w:val="20"/>
                <w:szCs w:val="20"/>
              </w:rPr>
              <w:t xml:space="preserve">Train one LSTM-AE per sensor on normal-only windows (src/sensor_agent.py). Initialize median/MAD baselines from validation errors.</w:t>
            </w:r>
          </w:p>
        </w:tc>
        <w:tc>
          <w:tcPr>
            <w:tcW w:type="dxa" w:w="2550"/>
            <w:tcMar>
              <w:top w:type="dxa" w:w="60"/>
              <w:left w:type="dxa" w:w="80"/>
              <w:bottom w:type="dxa" w:w="60"/>
              <w:right w:type="dxa" w:w="80"/>
            </w:tcMar>
          </w:tcPr>
          <w:p>
            <w:r>
              <w:rPr>
                <w:b w:val="false"/>
                <w:bCs w:val="false"/>
                <w:sz w:val="20"/>
                <w:szCs w:val="20"/>
              </w:rPr>
              <w:t xml:space="preserve">12 trained autoencoders</w:t>
            </w:r>
          </w:p>
        </w:tc>
      </w:tr>
      <w:tr>
        <w:tc>
          <w:tcPr>
            <w:tcW w:type="dxa" w:w="1600"/>
            <w:tcMar>
              <w:top w:type="dxa" w:w="60"/>
              <w:left w:type="dxa" w:w="80"/>
              <w:bottom w:type="dxa" w:w="60"/>
              <w:right w:type="dxa" w:w="80"/>
            </w:tcMar>
          </w:tcPr>
          <w:p>
            <w:r>
              <w:rPr>
                <w:b w:val="false"/>
                <w:bCs w:val="false"/>
                <w:sz w:val="20"/>
                <w:szCs w:val="20"/>
              </w:rPr>
              <w:t xml:space="preserve">4. Master Aggregator</w:t>
            </w:r>
          </w:p>
        </w:tc>
        <w:tc>
          <w:tcPr>
            <w:tcW w:type="dxa" w:w="5200"/>
            <w:tcMar>
              <w:top w:type="dxa" w:w="60"/>
              <w:left w:type="dxa" w:w="80"/>
              <w:bottom w:type="dxa" w:w="60"/>
              <w:right w:type="dxa" w:w="80"/>
            </w:tcMar>
          </w:tcPr>
          <w:p>
            <w:r>
              <w:rPr>
                <w:b w:val="false"/>
                <w:bCs w:val="false"/>
                <w:sz w:val="20"/>
                <w:szCs w:val="20"/>
              </w:rPr>
              <w:t xml:space="preserve">Deterministic — no training. Wraps the 12 Sensor Agents (src/master_aggregator.py).</w:t>
            </w:r>
          </w:p>
        </w:tc>
        <w:tc>
          <w:tcPr>
            <w:tcW w:type="dxa" w:w="2550"/>
            <w:tcMar>
              <w:top w:type="dxa" w:w="60"/>
              <w:left w:type="dxa" w:w="80"/>
              <w:bottom w:type="dxa" w:w="60"/>
              <w:right w:type="dxa" w:w="80"/>
            </w:tcMar>
          </w:tcPr>
          <w:p>
            <w:r>
              <w:rPr>
                <w:b w:val="false"/>
                <w:bCs w:val="false"/>
                <w:sz w:val="20"/>
                <w:szCs w:val="20"/>
              </w:rPr>
              <w:t xml:space="preserve">Aggregation function</w:t>
            </w:r>
          </w:p>
        </w:tc>
      </w:tr>
      <w:tr>
        <w:tc>
          <w:tcPr>
            <w:tcW w:type="dxa" w:w="1600"/>
            <w:tcMar>
              <w:top w:type="dxa" w:w="60"/>
              <w:left w:type="dxa" w:w="80"/>
              <w:bottom w:type="dxa" w:w="60"/>
              <w:right w:type="dxa" w:w="80"/>
            </w:tcMar>
          </w:tcPr>
          <w:p>
            <w:r>
              <w:rPr>
                <w:b w:val="false"/>
                <w:bCs w:val="false"/>
                <w:sz w:val="20"/>
                <w:szCs w:val="20"/>
              </w:rPr>
              <w:t xml:space="preserve">5. Adaptive Window Agent</w:t>
            </w:r>
          </w:p>
        </w:tc>
        <w:tc>
          <w:tcPr>
            <w:tcW w:type="dxa" w:w="5200"/>
            <w:tcMar>
              <w:top w:type="dxa" w:w="60"/>
              <w:left w:type="dxa" w:w="80"/>
              <w:bottom w:type="dxa" w:w="60"/>
              <w:right w:type="dxa" w:w="80"/>
            </w:tcMar>
          </w:tcPr>
          <w:p>
            <w:r>
              <w:rPr>
                <w:b w:val="false"/>
                <w:bCs w:val="false"/>
                <w:sz w:val="20"/>
                <w:szCs w:val="20"/>
              </w:rPr>
              <w:t xml:space="preserve">Train GDRNet-style MLP (window-size regressor) + LSTM next-step predictor (src/adaptive_window_agent.py). Fit baseline FDS/window distributions.</w:t>
            </w:r>
          </w:p>
        </w:tc>
        <w:tc>
          <w:tcPr>
            <w:tcW w:type="dxa" w:w="2550"/>
            <w:tcMar>
              <w:top w:type="dxa" w:w="60"/>
              <w:left w:type="dxa" w:w="80"/>
              <w:bottom w:type="dxa" w:w="60"/>
              <w:right w:type="dxa" w:w="80"/>
            </w:tcMar>
          </w:tcPr>
          <w:p>
            <w:r>
              <w:rPr>
                <w:b w:val="false"/>
                <w:bCs w:val="false"/>
                <w:sz w:val="20"/>
                <w:szCs w:val="20"/>
              </w:rPr>
              <w:t xml:space="preserve">Trained AWA + baseline stats</w:t>
            </w:r>
          </w:p>
        </w:tc>
      </w:tr>
      <w:tr>
        <w:tc>
          <w:tcPr>
            <w:tcW w:type="dxa" w:w="1600"/>
            <w:tcMar>
              <w:top w:type="dxa" w:w="60"/>
              <w:left w:type="dxa" w:w="80"/>
              <w:bottom w:type="dxa" w:w="60"/>
              <w:right w:type="dxa" w:w="80"/>
            </w:tcMar>
          </w:tcPr>
          <w:p>
            <w:r>
              <w:rPr>
                <w:b w:val="false"/>
                <w:bCs w:val="false"/>
                <w:sz w:val="20"/>
                <w:szCs w:val="20"/>
              </w:rPr>
              <w:t xml:space="preserve">6. Prediction Agent</w:t>
            </w:r>
          </w:p>
        </w:tc>
        <w:tc>
          <w:tcPr>
            <w:tcW w:type="dxa" w:w="5200"/>
            <w:tcMar>
              <w:top w:type="dxa" w:w="60"/>
              <w:left w:type="dxa" w:w="80"/>
              <w:bottom w:type="dxa" w:w="60"/>
              <w:right w:type="dxa" w:w="80"/>
            </w:tcMar>
          </w:tcPr>
          <w:p>
            <w:r>
              <w:rPr>
                <w:b w:val="false"/>
                <w:bCs w:val="false"/>
                <w:sz w:val="20"/>
                <w:szCs w:val="20"/>
              </w:rPr>
              <w:t xml:space="preserve">Train the 2-block Transformer classifier on Train, validate on Test, with class weighting (src/prediction_agent.py). THIS is your baseline.</w:t>
            </w:r>
          </w:p>
        </w:tc>
        <w:tc>
          <w:tcPr>
            <w:tcW w:type="dxa" w:w="2550"/>
            <w:tcMar>
              <w:top w:type="dxa" w:w="60"/>
              <w:left w:type="dxa" w:w="80"/>
              <w:bottom w:type="dxa" w:w="60"/>
              <w:right w:type="dxa" w:w="80"/>
            </w:tcMar>
          </w:tcPr>
          <w:p>
            <w:r>
              <w:rPr>
                <w:b w:val="false"/>
                <w:bCs w:val="false"/>
                <w:sz w:val="20"/>
                <w:szCs w:val="20"/>
              </w:rPr>
              <w:t xml:space="preserve">Frozen Transformer + Table 5 ‘Transformer’ row</w:t>
            </w:r>
          </w:p>
        </w:tc>
      </w:tr>
      <w:tr>
        <w:tc>
          <w:tcPr>
            <w:tcW w:type="dxa" w:w="1600"/>
            <w:tcMar>
              <w:top w:type="dxa" w:w="60"/>
              <w:left w:type="dxa" w:w="80"/>
              <w:bottom w:type="dxa" w:w="60"/>
              <w:right w:type="dxa" w:w="80"/>
            </w:tcMar>
          </w:tcPr>
          <w:p>
            <w:r>
              <w:rPr>
                <w:b w:val="false"/>
                <w:bCs w:val="false"/>
                <w:sz w:val="20"/>
                <w:szCs w:val="20"/>
              </w:rPr>
              <w:t xml:space="preserve">7. Decision Agent calibration</w:t>
            </w:r>
          </w:p>
        </w:tc>
        <w:tc>
          <w:tcPr>
            <w:tcW w:type="dxa" w:w="5200"/>
            <w:tcMar>
              <w:top w:type="dxa" w:w="60"/>
              <w:left w:type="dxa" w:w="80"/>
              <w:bottom w:type="dxa" w:w="60"/>
              <w:right w:type="dxa" w:w="80"/>
            </w:tcMar>
          </w:tcPr>
          <w:p>
            <w:r>
              <w:rPr>
                <w:b w:val="false"/>
                <w:bCs w:val="false"/>
                <w:sz w:val="20"/>
                <w:szCs w:val="20"/>
              </w:rPr>
              <w:t xml:space="preserve">PR-sweep Δ_margin on the Test split (Fig. 4 equivalent); fix all Table 3 values; freeze before touching Holdout.</w:t>
            </w:r>
          </w:p>
        </w:tc>
        <w:tc>
          <w:tcPr>
            <w:tcW w:type="dxa" w:w="2550"/>
            <w:tcMar>
              <w:top w:type="dxa" w:w="60"/>
              <w:left w:type="dxa" w:w="80"/>
              <w:bottom w:type="dxa" w:w="60"/>
              <w:right w:type="dxa" w:w="80"/>
            </w:tcMar>
          </w:tcPr>
          <w:p>
            <w:r>
              <w:rPr>
                <w:b w:val="false"/>
                <w:bCs w:val="false"/>
                <w:sz w:val="20"/>
                <w:szCs w:val="20"/>
              </w:rPr>
              <w:t xml:space="preserve">configs/policy_params.yaml finalised</w:t>
            </w:r>
          </w:p>
        </w:tc>
      </w:tr>
      <w:tr>
        <w:tc>
          <w:tcPr>
            <w:tcW w:type="dxa" w:w="1600"/>
            <w:tcMar>
              <w:top w:type="dxa" w:w="60"/>
              <w:left w:type="dxa" w:w="80"/>
              <w:bottom w:type="dxa" w:w="60"/>
              <w:right w:type="dxa" w:w="80"/>
            </w:tcMar>
          </w:tcPr>
          <w:p>
            <w:r>
              <w:rPr>
                <w:b w:val="false"/>
                <w:bCs w:val="false"/>
                <w:sz w:val="20"/>
                <w:szCs w:val="20"/>
              </w:rPr>
              <w:t xml:space="preserve">8. Streaming evaluation</w:t>
            </w:r>
          </w:p>
        </w:tc>
        <w:tc>
          <w:tcPr>
            <w:tcW w:type="dxa" w:w="5200"/>
            <w:tcMar>
              <w:top w:type="dxa" w:w="60"/>
              <w:left w:type="dxa" w:w="80"/>
              <w:bottom w:type="dxa" w:w="60"/>
              <w:right w:type="dxa" w:w="80"/>
            </w:tcMar>
          </w:tcPr>
          <w:p>
            <w:r>
              <w:rPr>
                <w:b w:val="false"/>
                <w:bCs w:val="false"/>
                <w:sz w:val="20"/>
                <w:szCs w:val="20"/>
              </w:rPr>
              <w:t xml:space="preserve">Run the full pipeline over the Holdout stream (2k/10k/30k windows) producing Table 5/6/7/8 equivalents (src/evaluate.py).</w:t>
            </w:r>
          </w:p>
        </w:tc>
        <w:tc>
          <w:tcPr>
            <w:tcW w:type="dxa" w:w="2550"/>
            <w:tcMar>
              <w:top w:type="dxa" w:w="60"/>
              <w:left w:type="dxa" w:w="80"/>
              <w:bottom w:type="dxa" w:w="60"/>
              <w:right w:type="dxa" w:w="80"/>
            </w:tcMar>
          </w:tcPr>
          <w:p>
            <w:r>
              <w:rPr>
                <w:b w:val="false"/>
                <w:bCs w:val="false"/>
                <w:sz w:val="20"/>
                <w:szCs w:val="20"/>
              </w:rPr>
              <w:t xml:space="preserve">Your reproduction metrics</w:t>
            </w:r>
          </w:p>
        </w:tc>
      </w:tr>
      <w:tr>
        <w:tc>
          <w:tcPr>
            <w:tcW w:type="dxa" w:w="1600"/>
            <w:tcMar>
              <w:top w:type="dxa" w:w="60"/>
              <w:left w:type="dxa" w:w="80"/>
              <w:bottom w:type="dxa" w:w="60"/>
              <w:right w:type="dxa" w:w="80"/>
            </w:tcMar>
          </w:tcPr>
          <w:p>
            <w:r>
              <w:rPr>
                <w:b w:val="false"/>
                <w:bCs w:val="false"/>
                <w:sz w:val="20"/>
                <w:szCs w:val="20"/>
              </w:rPr>
              <w:t xml:space="preserve">9. Ablation</w:t>
            </w:r>
          </w:p>
        </w:tc>
        <w:tc>
          <w:tcPr>
            <w:tcW w:type="dxa" w:w="5200"/>
            <w:tcMar>
              <w:top w:type="dxa" w:w="60"/>
              <w:left w:type="dxa" w:w="80"/>
              <w:bottom w:type="dxa" w:w="60"/>
              <w:right w:type="dxa" w:w="80"/>
            </w:tcMar>
          </w:tcPr>
          <w:p>
            <w:r>
              <w:rPr>
                <w:b w:val="false"/>
                <w:bCs w:val="false"/>
                <w:sz w:val="20"/>
                <w:szCs w:val="20"/>
              </w:rPr>
              <w:t xml:space="preserve">Run V1–V6 variants over cached perception outputs, no retraining (src/ablation.py) → Table 11 equivalent.</w:t>
            </w:r>
          </w:p>
        </w:tc>
        <w:tc>
          <w:tcPr>
            <w:tcW w:type="dxa" w:w="2550"/>
            <w:tcMar>
              <w:top w:type="dxa" w:w="60"/>
              <w:left w:type="dxa" w:w="80"/>
              <w:bottom w:type="dxa" w:w="60"/>
              <w:right w:type="dxa" w:w="80"/>
            </w:tcMar>
          </w:tcPr>
          <w:p>
            <w:r>
              <w:rPr>
                <w:b w:val="false"/>
                <w:bCs w:val="false"/>
                <w:sz w:val="20"/>
                <w:szCs w:val="20"/>
              </w:rPr>
              <w:t xml:space="preserve">Mechanism attribution</w:t>
            </w:r>
          </w:p>
        </w:tc>
      </w:tr>
      <w:tr>
        <w:tc>
          <w:tcPr>
            <w:tcW w:type="dxa" w:w="1600"/>
            <w:tcMar>
              <w:top w:type="dxa" w:w="60"/>
              <w:left w:type="dxa" w:w="80"/>
              <w:bottom w:type="dxa" w:w="60"/>
              <w:right w:type="dxa" w:w="80"/>
            </w:tcMar>
          </w:tcPr>
          <w:p>
            <w:r>
              <w:rPr>
                <w:b w:val="false"/>
                <w:bCs w:val="false"/>
                <w:sz w:val="20"/>
                <w:szCs w:val="20"/>
              </w:rPr>
              <w:t xml:space="preserve">10. Cost framework</w:t>
            </w:r>
          </w:p>
        </w:tc>
        <w:tc>
          <w:tcPr>
            <w:tcW w:type="dxa" w:w="5200"/>
            <w:tcMar>
              <w:top w:type="dxa" w:w="60"/>
              <w:left w:type="dxa" w:w="80"/>
              <w:bottom w:type="dxa" w:w="60"/>
              <w:right w:type="dxa" w:w="80"/>
            </w:tcMar>
          </w:tcPr>
          <w:p>
            <w:r>
              <w:rPr>
                <w:b w:val="false"/>
                <w:bCs w:val="false"/>
                <w:sz w:val="20"/>
                <w:szCs w:val="20"/>
              </w:rPr>
              <w:t xml:space="preserve">Apply Eq. 23–28 across an FMCR sweep (src/cost_framework.py) → Fig. 9 equivalent.</w:t>
            </w:r>
          </w:p>
        </w:tc>
        <w:tc>
          <w:tcPr>
            <w:tcW w:type="dxa" w:w="2550"/>
            <w:tcMar>
              <w:top w:type="dxa" w:w="60"/>
              <w:left w:type="dxa" w:w="80"/>
              <w:bottom w:type="dxa" w:w="60"/>
              <w:right w:type="dxa" w:w="80"/>
            </w:tcMar>
          </w:tcPr>
          <w:p>
            <w:r>
              <w:rPr>
                <w:b w:val="false"/>
                <w:bCs w:val="false"/>
                <w:sz w:val="20"/>
                <w:szCs w:val="20"/>
              </w:rPr>
              <w:t xml:space="preserve">Cost-efficiency/-effectiveness curves</w:t>
            </w:r>
          </w:p>
        </w:tc>
      </w:tr>
      <w:tr>
        <w:tc>
          <w:tcPr>
            <w:tcW w:type="dxa" w:w="1600"/>
            <w:tcMar>
              <w:top w:type="dxa" w:w="60"/>
              <w:left w:type="dxa" w:w="80"/>
              <w:bottom w:type="dxa" w:w="60"/>
              <w:right w:type="dxa" w:w="80"/>
            </w:tcMar>
          </w:tcPr>
          <w:p>
            <w:r>
              <w:rPr>
                <w:b w:val="false"/>
                <w:bCs w:val="false"/>
                <w:sz w:val="20"/>
                <w:szCs w:val="20"/>
              </w:rPr>
              <w:t xml:space="preserve">11. Expert Agent</w:t>
            </w:r>
          </w:p>
        </w:tc>
        <w:tc>
          <w:tcPr>
            <w:tcW w:type="dxa" w:w="5200"/>
            <w:tcMar>
              <w:top w:type="dxa" w:w="60"/>
              <w:left w:type="dxa" w:w="80"/>
              <w:bottom w:type="dxa" w:w="60"/>
              <w:right w:type="dxa" w:w="80"/>
            </w:tcMar>
          </w:tcPr>
          <w:p>
            <w:r>
              <w:rPr>
                <w:b w:val="false"/>
                <w:bCs w:val="false"/>
                <w:sz w:val="20"/>
                <w:szCs w:val="20"/>
              </w:rPr>
              <w:t xml:space="preserve">Wire up OpenAI gpt-4o-mini via src/expert_agent.py; invoke only on LOW/MEDIUM warnings; log to SQLite EventStore.</w:t>
            </w:r>
          </w:p>
        </w:tc>
        <w:tc>
          <w:tcPr>
            <w:tcW w:type="dxa" w:w="2550"/>
            <w:tcMar>
              <w:top w:type="dxa" w:w="60"/>
              <w:left w:type="dxa" w:w="80"/>
              <w:bottom w:type="dxa" w:w="60"/>
              <w:right w:type="dxa" w:w="80"/>
            </w:tcMar>
          </w:tcPr>
          <w:p>
            <w:r>
              <w:rPr>
                <w:b w:val="false"/>
                <w:bCs w:val="false"/>
                <w:sz w:val="20"/>
                <w:szCs w:val="20"/>
              </w:rPr>
              <w:t xml:space="preserve">Human-readable case studies (Table 9/10 equivalents)</w:t>
            </w:r>
          </w:p>
        </w:tc>
      </w:tr>
      <w:tr>
        <w:tc>
          <w:tcPr>
            <w:tcW w:type="dxa" w:w="1600"/>
            <w:tcMar>
              <w:top w:type="dxa" w:w="60"/>
              <w:left w:type="dxa" w:w="80"/>
              <w:bottom w:type="dxa" w:w="60"/>
              <w:right w:type="dxa" w:w="80"/>
            </w:tcMar>
          </w:tcPr>
          <w:p>
            <w:r>
              <w:rPr>
                <w:b w:val="false"/>
                <w:bCs w:val="false"/>
                <w:sz w:val="20"/>
                <w:szCs w:val="20"/>
              </w:rPr>
              <w:t xml:space="preserve">12. Write-up</w:t>
            </w:r>
          </w:p>
        </w:tc>
        <w:tc>
          <w:tcPr>
            <w:tcW w:type="dxa" w:w="5200"/>
            <w:tcMar>
              <w:top w:type="dxa" w:w="60"/>
              <w:left w:type="dxa" w:w="80"/>
              <w:bottom w:type="dxa" w:w="60"/>
              <w:right w:type="dxa" w:w="80"/>
            </w:tcMar>
          </w:tcPr>
          <w:p>
            <w:r>
              <w:rPr>
                <w:b w:val="false"/>
                <w:bCs w:val="false"/>
                <w:sz w:val="20"/>
                <w:szCs w:val="20"/>
              </w:rPr>
              <w:t xml:space="preserve">Compile your own Table 5–11 equivalents, clearly labelled REPRODUCTION (THIS RUN), and compare qualitatively (not as a replication claim) against the PAPER-REPORTED numbers in Section 7.</w:t>
            </w:r>
          </w:p>
        </w:tc>
        <w:tc>
          <w:tcPr>
            <w:tcW w:type="dxa" w:w="2550"/>
            <w:tcMar>
              <w:top w:type="dxa" w:w="60"/>
              <w:left w:type="dxa" w:w="80"/>
              <w:bottom w:type="dxa" w:w="60"/>
              <w:right w:type="dxa" w:w="80"/>
            </w:tcMar>
          </w:tcPr>
          <w:p>
            <w:r>
              <w:rPr>
                <w:b w:val="false"/>
                <w:bCs w:val="false"/>
                <w:sz w:val="20"/>
                <w:szCs w:val="20"/>
              </w:rPr>
              <w:t xml:space="preserve">Final report</w:t>
            </w:r>
          </w:p>
        </w:tc>
      </w:tr>
    </w:tbl>
    <w:p>
      <w:pPr>
        <w:pStyle w:val="Heading1"/>
        <w:spacing w:after="150" w:before="300"/>
      </w:pPr>
      <w:r>
        <w:t xml:space="preserve">7. Evaluation Protocol &amp; Metrics</w:t>
      </w:r>
    </w:p>
    <w:p>
      <w:pPr>
        <w:spacing w:after="120"/>
      </w:pPr>
      <w:r>
        <w:t xml:space="preserve">Two independent one-vs-rest binary tasks (Eq. 20–22):</w:t>
      </w:r>
    </w:p>
    <w:p>
      <w:pPr>
        <w:pStyle w:val="ListParagraph"/>
        <w:numPr>
          <w:ilvl w:val="0"/>
          <w:numId w:val="1"/>
        </w:numPr>
        <w:spacing w:after="60"/>
      </w:pPr>
      <w:r>
        <w:t xml:space="preserve">Early-warning prediction: Class 1 (Warning) = positive, Classes {0,2} = negative.</w:t>
      </w:r>
    </w:p>
    <w:p>
      <w:pPr>
        <w:pStyle w:val="ListParagraph"/>
        <w:numPr>
          <w:ilvl w:val="0"/>
          <w:numId w:val="1"/>
        </w:numPr>
        <w:spacing w:after="60"/>
      </w:pPr>
      <w:r>
        <w:t xml:space="preserve">Fault detection: Class 2 (Fault) = positive, Classes {0,1} = negative.</w:t>
      </w:r>
    </w:p>
    <w:p>
      <w:pPr>
        <w:spacing w:after="120"/>
      </w:pPr>
      <w:r>
        <w:rPr>
          <w:b/>
          <w:bCs/>
        </w:rPr>
        <w:t xml:space="preserve">Precision = TP/(TP+FP)</w:t>
      </w:r>
      <w:r>
        <w:t xml:space="preserve">   ·   </w:t>
      </w:r>
      <w:r>
        <w:rPr>
          <w:b/>
          <w:bCs/>
        </w:rPr>
        <w:t xml:space="preserve">Recall = TP/(TP+FN)</w:t>
      </w:r>
      <w:r>
        <w:t xml:space="preserve">   ·   </w:t>
      </w:r>
      <w:r>
        <w:rPr>
          <w:b/>
          <w:bCs/>
        </w:rPr>
        <w:t xml:space="preserve">F1 = 2TP/(2TP+FP+FN)</w:t>
      </w:r>
    </w:p>
    <w:p>
      <w:pPr>
        <w:pStyle w:val="Heading2"/>
        <w:spacing w:after="100" w:before="220"/>
      </w:pPr>
      <w:r>
        <w:t xml:space="preserve">7.1 Agreement buckets (Table 7 logic)</w:t>
      </w:r>
    </w:p>
    <w:p>
      <w:pPr>
        <w:spacing w:after="120"/>
      </w:pPr>
      <w:r>
        <w:t xml:space="preserve">Warning outcomes are split by whether the Transformer (T) and Decision Agent (D) agree, isolating the decision layer's own contribution:</w:t>
      </w:r>
    </w:p>
    <w:p>
      <w:pPr>
        <w:pStyle w:val="ListParagraph"/>
        <w:numPr>
          <w:ilvl w:val="0"/>
          <w:numId w:val="1"/>
        </w:numPr>
        <w:spacing w:after="60"/>
      </w:pPr>
      <w:r>
        <w:t xml:space="preserve">A(Tw,Dw): both warn — consensus, should be reliable.</w:t>
      </w:r>
    </w:p>
    <w:p>
      <w:pPr>
        <w:pStyle w:val="ListParagraph"/>
        <w:numPr>
          <w:ilvl w:val="0"/>
          <w:numId w:val="1"/>
        </w:numPr>
        <w:spacing w:after="60"/>
      </w:pPr>
      <w:r>
        <w:t xml:space="preserve">B(Tw,Dn): Transformer-only — suppressed by margin gating (should skew toward fault-in-progress/normal, i.e. correctly suppressed noise).</w:t>
      </w:r>
    </w:p>
    <w:p>
      <w:pPr>
        <w:pStyle w:val="ListParagraph"/>
        <w:numPr>
          <w:ilvl w:val="0"/>
          <w:numId w:val="1"/>
        </w:numPr>
        <w:spacing w:after="60"/>
      </w:pPr>
      <w:r>
        <w:t xml:space="preserve">C(Tn,Dw): Decision-Agent-only — near-miss recovery (should contain the recall gain, constrained to LOW/MEDIUM alert levels only).</w:t>
      </w:r>
    </w:p>
    <w:p>
      <w:pPr>
        <w:pStyle w:val="ListParagraph"/>
        <w:numPr>
          <w:ilvl w:val="0"/>
          <w:numId w:val="1"/>
        </w:numPr>
        <w:spacing w:after="60"/>
      </w:pPr>
      <w:r>
        <w:t xml:space="preserve">D(Tn,Dn): both silent — dominant bucket, confirms no unnecessary alerting.</w:t>
      </w:r>
    </w:p>
    <w:p>
      <w:pPr>
        <w:pStyle w:val="Heading2"/>
        <w:spacing w:after="100" w:before="220"/>
      </w:pPr>
      <w:r>
        <w:t xml:space="preserve">7.2 Statistical caveats the paper itself raises</w:t>
      </w:r>
    </w:p>
    <w:p>
      <w:pPr>
        <w:pStyle w:val="ListParagraph"/>
        <w:numPr>
          <w:ilvl w:val="0"/>
          <w:numId w:val="1"/>
        </w:numPr>
        <w:spacing w:after="60"/>
      </w:pPr>
      <w:r>
        <w:t xml:space="preserve">Standard bootstrap/permutation CIs are NOT reported — windows overlap 99/100 steps (stride=1) breaking i.i.d. assumptions, and warning/fault labels concentrate in one contiguous block per failure, so resampling would produce false precision.</w:t>
      </w:r>
    </w:p>
    <w:p>
      <w:pPr>
        <w:pStyle w:val="ListParagraph"/>
        <w:numPr>
          <w:ilvl w:val="0"/>
          <w:numId w:val="1"/>
        </w:numPr>
        <w:spacing w:after="60"/>
      </w:pPr>
      <w:r>
        <w:t xml:space="preserve">Instead, the paper uses temporal-stability analysis across increasing holdout lengths (2k→10k→30k windows) as its reliability evidence — reproduce this the same way rather than trying to bootstrap your own CIs.</w:t>
      </w:r>
    </w:p>
    <w:p>
      <w:pPr>
        <w:pStyle w:val="Heading1"/>
        <w:spacing w:after="150" w:before="300"/>
      </w:pPr>
      <w:r>
        <w:t xml:space="preserve">8. Paper-Reported Results (for reference only — not to be reproduced verbatim)</w:t>
      </w:r>
    </w:p>
    <w:p>
      <w:pPr>
        <w:pStyle w:val="Heading2"/>
        <w:spacing w:after="100" w:before="220"/>
      </w:pPr>
      <w:r>
        <w:t xml:space="preserve">8.1 Table 5 — core metrics, 2,000-window holdout (PAPER-REPORTED)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783"/>
        <w:gridCol w:w="1783"/>
        <w:gridCol w:w="1784"/>
      </w:tblGrid>
      <w:tr>
        <w:trPr>
          <w:tblHeader/>
        </w:trPr>
        <w:tc>
          <w:tcPr>
            <w:tcW w:type="dxa" w:w="1600"/>
            <w:shd w:fill="EAF2FB" w:val="clear"/>
            <w:tcMar>
              <w:top w:type="dxa" w:w="60"/>
              <w:left w:type="dxa" w:w="80"/>
              <w:bottom w:type="dxa" w:w="60"/>
              <w:right w:type="dxa" w:w="80"/>
            </w:tcMar>
          </w:tcPr>
          <w:p>
            <w:r>
              <w:rPr>
                <w:b/>
                <w:bCs/>
                <w:sz w:val="20"/>
                <w:szCs w:val="20"/>
              </w:rPr>
              <w:t xml:space="preserve">Task</w:t>
            </w:r>
          </w:p>
        </w:tc>
        <w:tc>
          <w:tcPr>
            <w:tcW w:type="dxa" w:w="2400"/>
            <w:shd w:fill="EAF2FB" w:val="clear"/>
            <w:tcMar>
              <w:top w:type="dxa" w:w="60"/>
              <w:left w:type="dxa" w:w="80"/>
              <w:bottom w:type="dxa" w:w="60"/>
              <w:right w:type="dxa" w:w="80"/>
            </w:tcMar>
          </w:tcPr>
          <w:p>
            <w:r>
              <w:rPr>
                <w:b/>
                <w:bCs/>
                <w:sz w:val="20"/>
                <w:szCs w:val="20"/>
              </w:rPr>
              <w:t xml:space="preserve">Model</w:t>
            </w:r>
          </w:p>
        </w:tc>
        <w:tc>
          <w:tcPr>
            <w:tcW w:type="dxa" w:w="1783"/>
            <w:shd w:fill="EAF2FB" w:val="clear"/>
            <w:tcMar>
              <w:top w:type="dxa" w:w="60"/>
              <w:left w:type="dxa" w:w="80"/>
              <w:bottom w:type="dxa" w:w="60"/>
              <w:right w:type="dxa" w:w="80"/>
            </w:tcMar>
          </w:tcPr>
          <w:p>
            <w:r>
              <w:rPr>
                <w:b/>
                <w:bCs/>
                <w:sz w:val="20"/>
                <w:szCs w:val="20"/>
              </w:rPr>
              <w:t xml:space="preserve">Precision</w:t>
            </w:r>
          </w:p>
        </w:tc>
        <w:tc>
          <w:tcPr>
            <w:tcW w:type="dxa" w:w="1783"/>
            <w:shd w:fill="EAF2FB" w:val="clear"/>
            <w:tcMar>
              <w:top w:type="dxa" w:w="60"/>
              <w:left w:type="dxa" w:w="80"/>
              <w:bottom w:type="dxa" w:w="60"/>
              <w:right w:type="dxa" w:w="80"/>
            </w:tcMar>
          </w:tcPr>
          <w:p>
            <w:r>
              <w:rPr>
                <w:b/>
                <w:bCs/>
                <w:sz w:val="20"/>
                <w:szCs w:val="20"/>
              </w:rPr>
              <w:t xml:space="preserve">Recall</w:t>
            </w:r>
          </w:p>
        </w:tc>
        <w:tc>
          <w:tcPr>
            <w:tcW w:type="dxa" w:w="1784"/>
            <w:shd w:fill="EAF2FB" w:val="clear"/>
            <w:tcMar>
              <w:top w:type="dxa" w:w="60"/>
              <w:left w:type="dxa" w:w="80"/>
              <w:bottom w:type="dxa" w:w="60"/>
              <w:right w:type="dxa" w:w="80"/>
            </w:tcMar>
          </w:tcPr>
          <w:p>
            <w:r>
              <w:rPr>
                <w:b/>
                <w:bCs/>
                <w:sz w:val="20"/>
                <w:szCs w:val="20"/>
              </w:rPr>
              <w:t xml:space="preserve">F1</w:t>
            </w:r>
          </w:p>
        </w:tc>
      </w:tr>
      <w:tr>
        <w:tc>
          <w:tcPr>
            <w:tcW w:type="dxa" w:w="1600"/>
            <w:tcMar>
              <w:top w:type="dxa" w:w="60"/>
              <w:left w:type="dxa" w:w="80"/>
              <w:bottom w:type="dxa" w:w="60"/>
              <w:right w:type="dxa" w:w="80"/>
            </w:tcMar>
          </w:tcPr>
          <w:p>
            <w:r>
              <w:rPr>
                <w:b w:val="false"/>
                <w:bCs w:val="false"/>
                <w:sz w:val="20"/>
                <w:szCs w:val="20"/>
              </w:rPr>
              <w:t xml:space="preserve">Warning</w:t>
            </w:r>
          </w:p>
        </w:tc>
        <w:tc>
          <w:tcPr>
            <w:tcW w:type="dxa" w:w="2400"/>
            <w:tcMar>
              <w:top w:type="dxa" w:w="60"/>
              <w:left w:type="dxa" w:w="80"/>
              <w:bottom w:type="dxa" w:w="60"/>
              <w:right w:type="dxa" w:w="80"/>
            </w:tcMar>
          </w:tcPr>
          <w:p>
            <w:r>
              <w:rPr>
                <w:b w:val="false"/>
                <w:bCs w:val="false"/>
                <w:sz w:val="20"/>
                <w:szCs w:val="20"/>
              </w:rPr>
              <w:t xml:space="preserve">Transformer</w:t>
            </w:r>
          </w:p>
        </w:tc>
        <w:tc>
          <w:tcPr>
            <w:tcW w:type="dxa" w:w="1783"/>
            <w:tcMar>
              <w:top w:type="dxa" w:w="60"/>
              <w:left w:type="dxa" w:w="80"/>
              <w:bottom w:type="dxa" w:w="60"/>
              <w:right w:type="dxa" w:w="80"/>
            </w:tcMar>
          </w:tcPr>
          <w:p>
            <w:r>
              <w:rPr>
                <w:b w:val="false"/>
                <w:bCs w:val="false"/>
                <w:sz w:val="20"/>
                <w:szCs w:val="20"/>
              </w:rPr>
              <w:t xml:space="preserve">0.875</w:t>
            </w:r>
          </w:p>
        </w:tc>
        <w:tc>
          <w:tcPr>
            <w:tcW w:type="dxa" w:w="1783"/>
            <w:tcMar>
              <w:top w:type="dxa" w:w="60"/>
              <w:left w:type="dxa" w:w="80"/>
              <w:bottom w:type="dxa" w:w="60"/>
              <w:right w:type="dxa" w:w="80"/>
            </w:tcMar>
          </w:tcPr>
          <w:p>
            <w:r>
              <w:rPr>
                <w:b w:val="false"/>
                <w:bCs w:val="false"/>
                <w:sz w:val="20"/>
                <w:szCs w:val="20"/>
              </w:rPr>
              <w:t xml:space="preserve">0.941</w:t>
            </w:r>
          </w:p>
        </w:tc>
        <w:tc>
          <w:tcPr>
            <w:tcW w:type="dxa" w:w="1784"/>
            <w:tcMar>
              <w:top w:type="dxa" w:w="60"/>
              <w:left w:type="dxa" w:w="80"/>
              <w:bottom w:type="dxa" w:w="60"/>
              <w:right w:type="dxa" w:w="80"/>
            </w:tcMar>
          </w:tcPr>
          <w:p>
            <w:r>
              <w:rPr>
                <w:b w:val="false"/>
                <w:bCs w:val="false"/>
                <w:sz w:val="20"/>
                <w:szCs w:val="20"/>
              </w:rPr>
              <w:t xml:space="preserve">0.906</w:t>
            </w:r>
          </w:p>
        </w:tc>
      </w:tr>
      <w:tr>
        <w:tc>
          <w:tcPr>
            <w:tcW w:type="dxa" w:w="1600"/>
            <w:tcMar>
              <w:top w:type="dxa" w:w="60"/>
              <w:left w:type="dxa" w:w="80"/>
              <w:bottom w:type="dxa" w:w="60"/>
              <w:right w:type="dxa" w:w="80"/>
            </w:tcMar>
          </w:tcPr>
          <w:p>
            <w:r>
              <w:rPr>
                <w:b w:val="false"/>
                <w:bCs w:val="false"/>
                <w:sz w:val="20"/>
                <w:szCs w:val="20"/>
              </w:rPr>
              <w:t xml:space="preserve">Warning</w:t>
            </w:r>
          </w:p>
        </w:tc>
        <w:tc>
          <w:tcPr>
            <w:tcW w:type="dxa" w:w="2400"/>
            <w:tcMar>
              <w:top w:type="dxa" w:w="60"/>
              <w:left w:type="dxa" w:w="80"/>
              <w:bottom w:type="dxa" w:w="60"/>
              <w:right w:type="dxa" w:w="80"/>
            </w:tcMar>
          </w:tcPr>
          <w:p>
            <w:r>
              <w:rPr>
                <w:b w:val="false"/>
                <w:bCs w:val="false"/>
                <w:sz w:val="20"/>
                <w:szCs w:val="20"/>
              </w:rPr>
              <w:t xml:space="preserve">ASPIRE</w:t>
            </w:r>
          </w:p>
        </w:tc>
        <w:tc>
          <w:tcPr>
            <w:tcW w:type="dxa" w:w="1783"/>
            <w:tcMar>
              <w:top w:type="dxa" w:w="60"/>
              <w:left w:type="dxa" w:w="80"/>
              <w:bottom w:type="dxa" w:w="60"/>
              <w:right w:type="dxa" w:w="80"/>
            </w:tcMar>
          </w:tcPr>
          <w:p>
            <w:r>
              <w:rPr>
                <w:b w:val="false"/>
                <w:bCs w:val="false"/>
                <w:sz w:val="20"/>
                <w:szCs w:val="20"/>
              </w:rPr>
              <w:t xml:space="preserve">0.889</w:t>
            </w:r>
          </w:p>
        </w:tc>
        <w:tc>
          <w:tcPr>
            <w:tcW w:type="dxa" w:w="1783"/>
            <w:tcMar>
              <w:top w:type="dxa" w:w="60"/>
              <w:left w:type="dxa" w:w="80"/>
              <w:bottom w:type="dxa" w:w="60"/>
              <w:right w:type="dxa" w:w="80"/>
            </w:tcMar>
          </w:tcPr>
          <w:p>
            <w:r>
              <w:rPr>
                <w:b w:val="false"/>
                <w:bCs w:val="false"/>
                <w:sz w:val="20"/>
                <w:szCs w:val="20"/>
              </w:rPr>
              <w:t xml:space="preserve">0.953</w:t>
            </w:r>
          </w:p>
        </w:tc>
        <w:tc>
          <w:tcPr>
            <w:tcW w:type="dxa" w:w="1784"/>
            <w:tcMar>
              <w:top w:type="dxa" w:w="60"/>
              <w:left w:type="dxa" w:w="80"/>
              <w:bottom w:type="dxa" w:w="60"/>
              <w:right w:type="dxa" w:w="80"/>
            </w:tcMar>
          </w:tcPr>
          <w:p>
            <w:r>
              <w:rPr>
                <w:b w:val="false"/>
                <w:bCs w:val="false"/>
                <w:sz w:val="20"/>
                <w:szCs w:val="20"/>
              </w:rPr>
              <w:t xml:space="preserve">0.920</w:t>
            </w:r>
          </w:p>
        </w:tc>
      </w:tr>
      <w:tr>
        <w:tc>
          <w:tcPr>
            <w:tcW w:type="dxa" w:w="1600"/>
            <w:tcMar>
              <w:top w:type="dxa" w:w="60"/>
              <w:left w:type="dxa" w:w="80"/>
              <w:bottom w:type="dxa" w:w="60"/>
              <w:right w:type="dxa" w:w="80"/>
            </w:tcMar>
          </w:tcPr>
          <w:p>
            <w:r>
              <w:rPr>
                <w:b w:val="false"/>
                <w:bCs w:val="false"/>
                <w:sz w:val="20"/>
                <w:szCs w:val="20"/>
              </w:rPr>
              <w:t xml:space="preserve">Failure</w:t>
            </w:r>
          </w:p>
        </w:tc>
        <w:tc>
          <w:tcPr>
            <w:tcW w:type="dxa" w:w="2400"/>
            <w:tcMar>
              <w:top w:type="dxa" w:w="60"/>
              <w:left w:type="dxa" w:w="80"/>
              <w:bottom w:type="dxa" w:w="60"/>
              <w:right w:type="dxa" w:w="80"/>
            </w:tcMar>
          </w:tcPr>
          <w:p>
            <w:r>
              <w:rPr>
                <w:b w:val="false"/>
                <w:bCs w:val="false"/>
                <w:sz w:val="20"/>
                <w:szCs w:val="20"/>
              </w:rPr>
              <w:t xml:space="preserve">Transformer</w:t>
            </w:r>
          </w:p>
        </w:tc>
        <w:tc>
          <w:tcPr>
            <w:tcW w:type="dxa" w:w="1783"/>
            <w:tcMar>
              <w:top w:type="dxa" w:w="60"/>
              <w:left w:type="dxa" w:w="80"/>
              <w:bottom w:type="dxa" w:w="60"/>
              <w:right w:type="dxa" w:w="80"/>
            </w:tcMar>
          </w:tcPr>
          <w:p>
            <w:r>
              <w:rPr>
                <w:b w:val="false"/>
                <w:bCs w:val="false"/>
                <w:sz w:val="20"/>
                <w:szCs w:val="20"/>
              </w:rPr>
              <w:t xml:space="preserve">1.000</w:t>
            </w:r>
          </w:p>
        </w:tc>
        <w:tc>
          <w:tcPr>
            <w:tcW w:type="dxa" w:w="1783"/>
            <w:tcMar>
              <w:top w:type="dxa" w:w="60"/>
              <w:left w:type="dxa" w:w="80"/>
              <w:bottom w:type="dxa" w:w="60"/>
              <w:right w:type="dxa" w:w="80"/>
            </w:tcMar>
          </w:tcPr>
          <w:p>
            <w:r>
              <w:rPr>
                <w:b w:val="false"/>
                <w:bCs w:val="false"/>
                <w:sz w:val="20"/>
                <w:szCs w:val="20"/>
              </w:rPr>
              <w:t xml:space="preserve">0.940</w:t>
            </w:r>
          </w:p>
        </w:tc>
        <w:tc>
          <w:tcPr>
            <w:tcW w:type="dxa" w:w="1784"/>
            <w:tcMar>
              <w:top w:type="dxa" w:w="60"/>
              <w:left w:type="dxa" w:w="80"/>
              <w:bottom w:type="dxa" w:w="60"/>
              <w:right w:type="dxa" w:w="80"/>
            </w:tcMar>
          </w:tcPr>
          <w:p>
            <w:r>
              <w:rPr>
                <w:b w:val="false"/>
                <w:bCs w:val="false"/>
                <w:sz w:val="20"/>
                <w:szCs w:val="20"/>
              </w:rPr>
              <w:t xml:space="preserve">0.969</w:t>
            </w:r>
          </w:p>
        </w:tc>
      </w:tr>
      <w:tr>
        <w:tc>
          <w:tcPr>
            <w:tcW w:type="dxa" w:w="1600"/>
            <w:tcMar>
              <w:top w:type="dxa" w:w="60"/>
              <w:left w:type="dxa" w:w="80"/>
              <w:bottom w:type="dxa" w:w="60"/>
              <w:right w:type="dxa" w:w="80"/>
            </w:tcMar>
          </w:tcPr>
          <w:p>
            <w:r>
              <w:rPr>
                <w:b w:val="false"/>
                <w:bCs w:val="false"/>
                <w:sz w:val="20"/>
                <w:szCs w:val="20"/>
              </w:rPr>
              <w:t xml:space="preserve">Failure</w:t>
            </w:r>
          </w:p>
        </w:tc>
        <w:tc>
          <w:tcPr>
            <w:tcW w:type="dxa" w:w="2400"/>
            <w:tcMar>
              <w:top w:type="dxa" w:w="60"/>
              <w:left w:type="dxa" w:w="80"/>
              <w:bottom w:type="dxa" w:w="60"/>
              <w:right w:type="dxa" w:w="80"/>
            </w:tcMar>
          </w:tcPr>
          <w:p>
            <w:r>
              <w:rPr>
                <w:b w:val="false"/>
                <w:bCs w:val="false"/>
                <w:sz w:val="20"/>
                <w:szCs w:val="20"/>
              </w:rPr>
              <w:t xml:space="preserve">ASPIRE</w:t>
            </w:r>
          </w:p>
        </w:tc>
        <w:tc>
          <w:tcPr>
            <w:tcW w:type="dxa" w:w="1783"/>
            <w:tcMar>
              <w:top w:type="dxa" w:w="60"/>
              <w:left w:type="dxa" w:w="80"/>
              <w:bottom w:type="dxa" w:w="60"/>
              <w:right w:type="dxa" w:w="80"/>
            </w:tcMar>
          </w:tcPr>
          <w:p>
            <w:r>
              <w:rPr>
                <w:b w:val="false"/>
                <w:bCs w:val="false"/>
                <w:sz w:val="20"/>
                <w:szCs w:val="20"/>
              </w:rPr>
              <w:t xml:space="preserve">1.000</w:t>
            </w:r>
          </w:p>
        </w:tc>
        <w:tc>
          <w:tcPr>
            <w:tcW w:type="dxa" w:w="1783"/>
            <w:tcMar>
              <w:top w:type="dxa" w:w="60"/>
              <w:left w:type="dxa" w:w="80"/>
              <w:bottom w:type="dxa" w:w="60"/>
              <w:right w:type="dxa" w:w="80"/>
            </w:tcMar>
          </w:tcPr>
          <w:p>
            <w:r>
              <w:rPr>
                <w:b w:val="false"/>
                <w:bCs w:val="false"/>
                <w:sz w:val="20"/>
                <w:szCs w:val="20"/>
              </w:rPr>
              <w:t xml:space="preserve">0.940</w:t>
            </w:r>
          </w:p>
        </w:tc>
        <w:tc>
          <w:tcPr>
            <w:tcW w:type="dxa" w:w="1784"/>
            <w:tcMar>
              <w:top w:type="dxa" w:w="60"/>
              <w:left w:type="dxa" w:w="80"/>
              <w:bottom w:type="dxa" w:w="60"/>
              <w:right w:type="dxa" w:w="80"/>
            </w:tcMar>
          </w:tcPr>
          <w:p>
            <w:r>
              <w:rPr>
                <w:b w:val="false"/>
                <w:bCs w:val="false"/>
                <w:sz w:val="20"/>
                <w:szCs w:val="20"/>
              </w:rPr>
              <w:t xml:space="preserve">0.969</w:t>
            </w:r>
          </w:p>
        </w:tc>
      </w:tr>
    </w:tbl>
    <w:p>
      <w:pPr>
        <w:pStyle w:val="Heading2"/>
        <w:spacing w:after="100" w:before="220"/>
      </w:pPr>
      <w:r>
        <w:t xml:space="preserve">8.2 Table 6 — warning-class confusion counts, 2,000-window holdout (PAPER-REPORTED)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737"/>
        <w:gridCol w:w="1737"/>
        <w:gridCol w:w="1737"/>
        <w:gridCol w:w="1739"/>
      </w:tblGrid>
      <w:tr>
        <w:trPr>
          <w:tblHeader/>
        </w:trPr>
        <w:tc>
          <w:tcPr>
            <w:tcW w:type="dxa" w:w="2400"/>
            <w:shd w:fill="EAF2FB" w:val="clear"/>
            <w:tcMar>
              <w:top w:type="dxa" w:w="60"/>
              <w:left w:type="dxa" w:w="80"/>
              <w:bottom w:type="dxa" w:w="60"/>
              <w:right w:type="dxa" w:w="80"/>
            </w:tcMar>
          </w:tcPr>
          <w:p>
            <w:r>
              <w:rPr>
                <w:b/>
                <w:bCs/>
                <w:sz w:val="20"/>
                <w:szCs w:val="20"/>
              </w:rPr>
              <w:t xml:space="preserve">Method</w:t>
            </w:r>
          </w:p>
        </w:tc>
        <w:tc>
          <w:tcPr>
            <w:tcW w:type="dxa" w:w="1737"/>
            <w:shd w:fill="EAF2FB" w:val="clear"/>
            <w:tcMar>
              <w:top w:type="dxa" w:w="60"/>
              <w:left w:type="dxa" w:w="80"/>
              <w:bottom w:type="dxa" w:w="60"/>
              <w:right w:type="dxa" w:w="80"/>
            </w:tcMar>
          </w:tcPr>
          <w:p>
            <w:r>
              <w:rPr>
                <w:b/>
                <w:bCs/>
                <w:sz w:val="20"/>
                <w:szCs w:val="20"/>
              </w:rPr>
              <w:t xml:space="preserve">TP</w:t>
            </w:r>
          </w:p>
        </w:tc>
        <w:tc>
          <w:tcPr>
            <w:tcW w:type="dxa" w:w="1737"/>
            <w:shd w:fill="EAF2FB" w:val="clear"/>
            <w:tcMar>
              <w:top w:type="dxa" w:w="60"/>
              <w:left w:type="dxa" w:w="80"/>
              <w:bottom w:type="dxa" w:w="60"/>
              <w:right w:type="dxa" w:w="80"/>
            </w:tcMar>
          </w:tcPr>
          <w:p>
            <w:r>
              <w:rPr>
                <w:b/>
                <w:bCs/>
                <w:sz w:val="20"/>
                <w:szCs w:val="20"/>
              </w:rPr>
              <w:t xml:space="preserve">FP</w:t>
            </w:r>
          </w:p>
        </w:tc>
        <w:tc>
          <w:tcPr>
            <w:tcW w:type="dxa" w:w="1737"/>
            <w:shd w:fill="EAF2FB" w:val="clear"/>
            <w:tcMar>
              <w:top w:type="dxa" w:w="60"/>
              <w:left w:type="dxa" w:w="80"/>
              <w:bottom w:type="dxa" w:w="60"/>
              <w:right w:type="dxa" w:w="80"/>
            </w:tcMar>
          </w:tcPr>
          <w:p>
            <w:r>
              <w:rPr>
                <w:b/>
                <w:bCs/>
                <w:sz w:val="20"/>
                <w:szCs w:val="20"/>
              </w:rPr>
              <w:t xml:space="preserve">TN</w:t>
            </w:r>
          </w:p>
        </w:tc>
        <w:tc>
          <w:tcPr>
            <w:tcW w:type="dxa" w:w="1739"/>
            <w:shd w:fill="EAF2FB" w:val="clear"/>
            <w:tcMar>
              <w:top w:type="dxa" w:w="60"/>
              <w:left w:type="dxa" w:w="80"/>
              <w:bottom w:type="dxa" w:w="60"/>
              <w:right w:type="dxa" w:w="80"/>
            </w:tcMar>
          </w:tcPr>
          <w:p>
            <w:r>
              <w:rPr>
                <w:b/>
                <w:bCs/>
                <w:sz w:val="20"/>
                <w:szCs w:val="20"/>
              </w:rPr>
              <w:t xml:space="preserve">FN</w:t>
            </w:r>
          </w:p>
        </w:tc>
      </w:tr>
      <w:tr>
        <w:tc>
          <w:tcPr>
            <w:tcW w:type="dxa" w:w="2400"/>
            <w:tcMar>
              <w:top w:type="dxa" w:w="60"/>
              <w:left w:type="dxa" w:w="80"/>
              <w:bottom w:type="dxa" w:w="60"/>
              <w:right w:type="dxa" w:w="80"/>
            </w:tcMar>
          </w:tcPr>
          <w:p>
            <w:r>
              <w:rPr>
                <w:b w:val="false"/>
                <w:bCs w:val="false"/>
                <w:sz w:val="20"/>
                <w:szCs w:val="20"/>
              </w:rPr>
              <w:t xml:space="preserve">Transformer</w:t>
            </w:r>
          </w:p>
        </w:tc>
        <w:tc>
          <w:tcPr>
            <w:tcW w:type="dxa" w:w="1737"/>
            <w:tcMar>
              <w:top w:type="dxa" w:w="60"/>
              <w:left w:type="dxa" w:w="80"/>
              <w:bottom w:type="dxa" w:w="60"/>
              <w:right w:type="dxa" w:w="80"/>
            </w:tcMar>
          </w:tcPr>
          <w:p>
            <w:r>
              <w:rPr>
                <w:b w:val="false"/>
                <w:bCs w:val="false"/>
                <w:sz w:val="20"/>
                <w:szCs w:val="20"/>
              </w:rPr>
              <w:t xml:space="preserve">683</w:t>
            </w:r>
          </w:p>
        </w:tc>
        <w:tc>
          <w:tcPr>
            <w:tcW w:type="dxa" w:w="1737"/>
            <w:tcMar>
              <w:top w:type="dxa" w:w="60"/>
              <w:left w:type="dxa" w:w="80"/>
              <w:bottom w:type="dxa" w:w="60"/>
              <w:right w:type="dxa" w:w="80"/>
            </w:tcMar>
          </w:tcPr>
          <w:p>
            <w:r>
              <w:rPr>
                <w:b w:val="false"/>
                <w:bCs w:val="false"/>
                <w:sz w:val="20"/>
                <w:szCs w:val="20"/>
              </w:rPr>
              <w:t xml:space="preserve">98</w:t>
            </w:r>
          </w:p>
        </w:tc>
        <w:tc>
          <w:tcPr>
            <w:tcW w:type="dxa" w:w="1737"/>
            <w:tcMar>
              <w:top w:type="dxa" w:w="60"/>
              <w:left w:type="dxa" w:w="80"/>
              <w:bottom w:type="dxa" w:w="60"/>
              <w:right w:type="dxa" w:w="80"/>
            </w:tcMar>
          </w:tcPr>
          <w:p>
            <w:r>
              <w:rPr>
                <w:b w:val="false"/>
                <w:bCs w:val="false"/>
                <w:sz w:val="20"/>
                <w:szCs w:val="20"/>
              </w:rPr>
              <w:t xml:space="preserve">1176</w:t>
            </w:r>
          </w:p>
        </w:tc>
        <w:tc>
          <w:tcPr>
            <w:tcW w:type="dxa" w:w="1739"/>
            <w:tcMar>
              <w:top w:type="dxa" w:w="60"/>
              <w:left w:type="dxa" w:w="80"/>
              <w:bottom w:type="dxa" w:w="60"/>
              <w:right w:type="dxa" w:w="80"/>
            </w:tcMar>
          </w:tcPr>
          <w:p>
            <w:r>
              <w:rPr>
                <w:b w:val="false"/>
                <w:bCs w:val="false"/>
                <w:sz w:val="20"/>
                <w:szCs w:val="20"/>
              </w:rPr>
              <w:t xml:space="preserve">43</w:t>
            </w:r>
          </w:p>
        </w:tc>
      </w:tr>
      <w:tr>
        <w:tc>
          <w:tcPr>
            <w:tcW w:type="dxa" w:w="2400"/>
            <w:tcMar>
              <w:top w:type="dxa" w:w="60"/>
              <w:left w:type="dxa" w:w="80"/>
              <w:bottom w:type="dxa" w:w="60"/>
              <w:right w:type="dxa" w:w="80"/>
            </w:tcMar>
          </w:tcPr>
          <w:p>
            <w:r>
              <w:rPr>
                <w:b w:val="false"/>
                <w:bCs w:val="false"/>
                <w:sz w:val="20"/>
                <w:szCs w:val="20"/>
              </w:rPr>
              <w:t xml:space="preserve">ASPIRE</w:t>
            </w:r>
          </w:p>
        </w:tc>
        <w:tc>
          <w:tcPr>
            <w:tcW w:type="dxa" w:w="1737"/>
            <w:tcMar>
              <w:top w:type="dxa" w:w="60"/>
              <w:left w:type="dxa" w:w="80"/>
              <w:bottom w:type="dxa" w:w="60"/>
              <w:right w:type="dxa" w:w="80"/>
            </w:tcMar>
          </w:tcPr>
          <w:p>
            <w:r>
              <w:rPr>
                <w:b w:val="false"/>
                <w:bCs w:val="false"/>
                <w:sz w:val="20"/>
                <w:szCs w:val="20"/>
              </w:rPr>
              <w:t xml:space="preserve">691</w:t>
            </w:r>
          </w:p>
        </w:tc>
        <w:tc>
          <w:tcPr>
            <w:tcW w:type="dxa" w:w="1737"/>
            <w:tcMar>
              <w:top w:type="dxa" w:w="60"/>
              <w:left w:type="dxa" w:w="80"/>
              <w:bottom w:type="dxa" w:w="60"/>
              <w:right w:type="dxa" w:w="80"/>
            </w:tcMar>
          </w:tcPr>
          <w:p>
            <w:r>
              <w:rPr>
                <w:b w:val="false"/>
                <w:bCs w:val="false"/>
                <w:sz w:val="20"/>
                <w:szCs w:val="20"/>
              </w:rPr>
              <w:t xml:space="preserve">86</w:t>
            </w:r>
          </w:p>
        </w:tc>
        <w:tc>
          <w:tcPr>
            <w:tcW w:type="dxa" w:w="1737"/>
            <w:tcMar>
              <w:top w:type="dxa" w:w="60"/>
              <w:left w:type="dxa" w:w="80"/>
              <w:bottom w:type="dxa" w:w="60"/>
              <w:right w:type="dxa" w:w="80"/>
            </w:tcMar>
          </w:tcPr>
          <w:p>
            <w:r>
              <w:rPr>
                <w:b w:val="false"/>
                <w:bCs w:val="false"/>
                <w:sz w:val="20"/>
                <w:szCs w:val="20"/>
              </w:rPr>
              <w:t xml:space="preserve">1188</w:t>
            </w:r>
          </w:p>
        </w:tc>
        <w:tc>
          <w:tcPr>
            <w:tcW w:type="dxa" w:w="1739"/>
            <w:tcMar>
              <w:top w:type="dxa" w:w="60"/>
              <w:left w:type="dxa" w:w="80"/>
              <w:bottom w:type="dxa" w:w="60"/>
              <w:right w:type="dxa" w:w="80"/>
            </w:tcMar>
          </w:tcPr>
          <w:p>
            <w:r>
              <w:rPr>
                <w:b w:val="false"/>
                <w:bCs w:val="false"/>
                <w:sz w:val="20"/>
                <w:szCs w:val="20"/>
              </w:rPr>
              <w:t xml:space="preserve">35</w:t>
            </w:r>
          </w:p>
        </w:tc>
      </w:tr>
    </w:tbl>
    <w:p>
      <w:pPr>
        <w:pStyle w:val="Heading2"/>
        <w:spacing w:after="100" w:before="220"/>
      </w:pPr>
      <w:r>
        <w:t xml:space="preserve">8.3 Table 8 — robustness across holdout lengths (PAPER-REPORTED)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1683"/>
        <w:gridCol w:w="1683"/>
        <w:gridCol w:w="1684"/>
      </w:tblGrid>
      <w:tr>
        <w:trPr>
          <w:tblHeader/>
        </w:trPr>
        <w:tc>
          <w:tcPr>
            <w:tcW w:type="dxa" w:w="1900"/>
            <w:shd w:fill="EAF2FB" w:val="clear"/>
            <w:tcMar>
              <w:top w:type="dxa" w:w="60"/>
              <w:left w:type="dxa" w:w="80"/>
              <w:bottom w:type="dxa" w:w="60"/>
              <w:right w:type="dxa" w:w="80"/>
            </w:tcMar>
          </w:tcPr>
          <w:p>
            <w:r>
              <w:rPr>
                <w:b/>
                <w:bCs/>
                <w:sz w:val="20"/>
                <w:szCs w:val="20"/>
              </w:rPr>
              <w:t xml:space="preserve">Holdout size</w:t>
            </w:r>
          </w:p>
        </w:tc>
        <w:tc>
          <w:tcPr>
            <w:tcW w:type="dxa" w:w="2400"/>
            <w:shd w:fill="EAF2FB" w:val="clear"/>
            <w:tcMar>
              <w:top w:type="dxa" w:w="60"/>
              <w:left w:type="dxa" w:w="80"/>
              <w:bottom w:type="dxa" w:w="60"/>
              <w:right w:type="dxa" w:w="80"/>
            </w:tcMar>
          </w:tcPr>
          <w:p>
            <w:r>
              <w:rPr>
                <w:b/>
                <w:bCs/>
                <w:sz w:val="20"/>
                <w:szCs w:val="20"/>
              </w:rPr>
              <w:t xml:space="preserve">Method</w:t>
            </w:r>
          </w:p>
        </w:tc>
        <w:tc>
          <w:tcPr>
            <w:tcW w:type="dxa" w:w="1683"/>
            <w:shd w:fill="EAF2FB" w:val="clear"/>
            <w:tcMar>
              <w:top w:type="dxa" w:w="60"/>
              <w:left w:type="dxa" w:w="80"/>
              <w:bottom w:type="dxa" w:w="60"/>
              <w:right w:type="dxa" w:w="80"/>
            </w:tcMar>
          </w:tcPr>
          <w:p>
            <w:r>
              <w:rPr>
                <w:b/>
                <w:bCs/>
                <w:sz w:val="20"/>
                <w:szCs w:val="20"/>
              </w:rPr>
              <w:t xml:space="preserve">Precision</w:t>
            </w:r>
          </w:p>
        </w:tc>
        <w:tc>
          <w:tcPr>
            <w:tcW w:type="dxa" w:w="1683"/>
            <w:shd w:fill="EAF2FB" w:val="clear"/>
            <w:tcMar>
              <w:top w:type="dxa" w:w="60"/>
              <w:left w:type="dxa" w:w="80"/>
              <w:bottom w:type="dxa" w:w="60"/>
              <w:right w:type="dxa" w:w="80"/>
            </w:tcMar>
          </w:tcPr>
          <w:p>
            <w:r>
              <w:rPr>
                <w:b/>
                <w:bCs/>
                <w:sz w:val="20"/>
                <w:szCs w:val="20"/>
              </w:rPr>
              <w:t xml:space="preserve">Recall</w:t>
            </w:r>
          </w:p>
        </w:tc>
        <w:tc>
          <w:tcPr>
            <w:tcW w:type="dxa" w:w="1684"/>
            <w:shd w:fill="EAF2FB" w:val="clear"/>
            <w:tcMar>
              <w:top w:type="dxa" w:w="60"/>
              <w:left w:type="dxa" w:w="80"/>
              <w:bottom w:type="dxa" w:w="60"/>
              <w:right w:type="dxa" w:w="80"/>
            </w:tcMar>
          </w:tcPr>
          <w:p>
            <w:r>
              <w:rPr>
                <w:b/>
                <w:bCs/>
                <w:sz w:val="20"/>
                <w:szCs w:val="20"/>
              </w:rPr>
              <w:t xml:space="preserve">F1</w:t>
            </w:r>
          </w:p>
        </w:tc>
      </w:tr>
      <w:tr>
        <w:tc>
          <w:tcPr>
            <w:tcW w:type="dxa" w:w="1900"/>
            <w:tcMar>
              <w:top w:type="dxa" w:w="60"/>
              <w:left w:type="dxa" w:w="80"/>
              <w:bottom w:type="dxa" w:w="60"/>
              <w:right w:type="dxa" w:w="80"/>
            </w:tcMar>
          </w:tcPr>
          <w:p>
            <w:r>
              <w:rPr>
                <w:b w:val="false"/>
                <w:bCs w:val="false"/>
                <w:sz w:val="20"/>
                <w:szCs w:val="20"/>
              </w:rPr>
              <w:t xml:space="preserve">2,000</w:t>
            </w:r>
          </w:p>
        </w:tc>
        <w:tc>
          <w:tcPr>
            <w:tcW w:type="dxa" w:w="2400"/>
            <w:tcMar>
              <w:top w:type="dxa" w:w="60"/>
              <w:left w:type="dxa" w:w="80"/>
              <w:bottom w:type="dxa" w:w="60"/>
              <w:right w:type="dxa" w:w="80"/>
            </w:tcMar>
          </w:tcPr>
          <w:p>
            <w:r>
              <w:rPr>
                <w:b w:val="false"/>
                <w:bCs w:val="false"/>
                <w:sz w:val="20"/>
                <w:szCs w:val="20"/>
              </w:rPr>
              <w:t xml:space="preserve">Transformer</w:t>
            </w:r>
          </w:p>
        </w:tc>
        <w:tc>
          <w:tcPr>
            <w:tcW w:type="dxa" w:w="1683"/>
            <w:tcMar>
              <w:top w:type="dxa" w:w="60"/>
              <w:left w:type="dxa" w:w="80"/>
              <w:bottom w:type="dxa" w:w="60"/>
              <w:right w:type="dxa" w:w="80"/>
            </w:tcMar>
          </w:tcPr>
          <w:p>
            <w:r>
              <w:rPr>
                <w:b w:val="false"/>
                <w:bCs w:val="false"/>
                <w:sz w:val="20"/>
                <w:szCs w:val="20"/>
              </w:rPr>
              <w:t xml:space="preserve">0.875</w:t>
            </w:r>
          </w:p>
        </w:tc>
        <w:tc>
          <w:tcPr>
            <w:tcW w:type="dxa" w:w="1683"/>
            <w:tcMar>
              <w:top w:type="dxa" w:w="60"/>
              <w:left w:type="dxa" w:w="80"/>
              <w:bottom w:type="dxa" w:w="60"/>
              <w:right w:type="dxa" w:w="80"/>
            </w:tcMar>
          </w:tcPr>
          <w:p>
            <w:r>
              <w:rPr>
                <w:b w:val="false"/>
                <w:bCs w:val="false"/>
                <w:sz w:val="20"/>
                <w:szCs w:val="20"/>
              </w:rPr>
              <w:t xml:space="preserve">0.941</w:t>
            </w:r>
          </w:p>
        </w:tc>
        <w:tc>
          <w:tcPr>
            <w:tcW w:type="dxa" w:w="1684"/>
            <w:tcMar>
              <w:top w:type="dxa" w:w="60"/>
              <w:left w:type="dxa" w:w="80"/>
              <w:bottom w:type="dxa" w:w="60"/>
              <w:right w:type="dxa" w:w="80"/>
            </w:tcMar>
          </w:tcPr>
          <w:p>
            <w:r>
              <w:rPr>
                <w:b w:val="false"/>
                <w:bCs w:val="false"/>
                <w:sz w:val="20"/>
                <w:szCs w:val="20"/>
              </w:rPr>
              <w:t xml:space="preserve">0.906</w:t>
            </w:r>
          </w:p>
        </w:tc>
      </w:tr>
      <w:tr>
        <w:tc>
          <w:tcPr>
            <w:tcW w:type="dxa" w:w="1900"/>
            <w:tcMar>
              <w:top w:type="dxa" w:w="60"/>
              <w:left w:type="dxa" w:w="80"/>
              <w:bottom w:type="dxa" w:w="60"/>
              <w:right w:type="dxa" w:w="80"/>
            </w:tcMar>
          </w:tcPr>
          <w:p>
            <w:r>
              <w:rPr>
                <w:b w:val="false"/>
                <w:bCs w:val="false"/>
                <w:sz w:val="20"/>
                <w:szCs w:val="20"/>
              </w:rPr>
              <w:t xml:space="preserve">2,000</w:t>
            </w:r>
          </w:p>
        </w:tc>
        <w:tc>
          <w:tcPr>
            <w:tcW w:type="dxa" w:w="2400"/>
            <w:tcMar>
              <w:top w:type="dxa" w:w="60"/>
              <w:left w:type="dxa" w:w="80"/>
              <w:bottom w:type="dxa" w:w="60"/>
              <w:right w:type="dxa" w:w="80"/>
            </w:tcMar>
          </w:tcPr>
          <w:p>
            <w:r>
              <w:rPr>
                <w:b w:val="false"/>
                <w:bCs w:val="false"/>
                <w:sz w:val="20"/>
                <w:szCs w:val="20"/>
              </w:rPr>
              <w:t xml:space="preserve">ASPIRE</w:t>
            </w:r>
          </w:p>
        </w:tc>
        <w:tc>
          <w:tcPr>
            <w:tcW w:type="dxa" w:w="1683"/>
            <w:tcMar>
              <w:top w:type="dxa" w:w="60"/>
              <w:left w:type="dxa" w:w="80"/>
              <w:bottom w:type="dxa" w:w="60"/>
              <w:right w:type="dxa" w:w="80"/>
            </w:tcMar>
          </w:tcPr>
          <w:p>
            <w:r>
              <w:rPr>
                <w:b w:val="false"/>
                <w:bCs w:val="false"/>
                <w:sz w:val="20"/>
                <w:szCs w:val="20"/>
              </w:rPr>
              <w:t xml:space="preserve">0.889</w:t>
            </w:r>
          </w:p>
        </w:tc>
        <w:tc>
          <w:tcPr>
            <w:tcW w:type="dxa" w:w="1683"/>
            <w:tcMar>
              <w:top w:type="dxa" w:w="60"/>
              <w:left w:type="dxa" w:w="80"/>
              <w:bottom w:type="dxa" w:w="60"/>
              <w:right w:type="dxa" w:w="80"/>
            </w:tcMar>
          </w:tcPr>
          <w:p>
            <w:r>
              <w:rPr>
                <w:b w:val="false"/>
                <w:bCs w:val="false"/>
                <w:sz w:val="20"/>
                <w:szCs w:val="20"/>
              </w:rPr>
              <w:t xml:space="preserve">0.953</w:t>
            </w:r>
          </w:p>
        </w:tc>
        <w:tc>
          <w:tcPr>
            <w:tcW w:type="dxa" w:w="1684"/>
            <w:tcMar>
              <w:top w:type="dxa" w:w="60"/>
              <w:left w:type="dxa" w:w="80"/>
              <w:bottom w:type="dxa" w:w="60"/>
              <w:right w:type="dxa" w:w="80"/>
            </w:tcMar>
          </w:tcPr>
          <w:p>
            <w:r>
              <w:rPr>
                <w:b w:val="false"/>
                <w:bCs w:val="false"/>
                <w:sz w:val="20"/>
                <w:szCs w:val="20"/>
              </w:rPr>
              <w:t xml:space="preserve">0.920</w:t>
            </w:r>
          </w:p>
        </w:tc>
      </w:tr>
      <w:tr>
        <w:tc>
          <w:tcPr>
            <w:tcW w:type="dxa" w:w="1900"/>
            <w:tcMar>
              <w:top w:type="dxa" w:w="60"/>
              <w:left w:type="dxa" w:w="80"/>
              <w:bottom w:type="dxa" w:w="60"/>
              <w:right w:type="dxa" w:w="80"/>
            </w:tcMar>
          </w:tcPr>
          <w:p>
            <w:r>
              <w:rPr>
                <w:b w:val="false"/>
                <w:bCs w:val="false"/>
                <w:sz w:val="20"/>
                <w:szCs w:val="20"/>
              </w:rPr>
              <w:t xml:space="preserve">10,000</w:t>
            </w:r>
          </w:p>
        </w:tc>
        <w:tc>
          <w:tcPr>
            <w:tcW w:type="dxa" w:w="2400"/>
            <w:tcMar>
              <w:top w:type="dxa" w:w="60"/>
              <w:left w:type="dxa" w:w="80"/>
              <w:bottom w:type="dxa" w:w="60"/>
              <w:right w:type="dxa" w:w="80"/>
            </w:tcMar>
          </w:tcPr>
          <w:p>
            <w:r>
              <w:rPr>
                <w:b w:val="false"/>
                <w:bCs w:val="false"/>
                <w:sz w:val="20"/>
                <w:szCs w:val="20"/>
              </w:rPr>
              <w:t xml:space="preserve">Transformer</w:t>
            </w:r>
          </w:p>
        </w:tc>
        <w:tc>
          <w:tcPr>
            <w:tcW w:type="dxa" w:w="1683"/>
            <w:tcMar>
              <w:top w:type="dxa" w:w="60"/>
              <w:left w:type="dxa" w:w="80"/>
              <w:bottom w:type="dxa" w:w="60"/>
              <w:right w:type="dxa" w:w="80"/>
            </w:tcMar>
          </w:tcPr>
          <w:p>
            <w:r>
              <w:rPr>
                <w:b w:val="false"/>
                <w:bCs w:val="false"/>
                <w:sz w:val="20"/>
                <w:szCs w:val="20"/>
              </w:rPr>
              <w:t xml:space="preserve">0.830</w:t>
            </w:r>
          </w:p>
        </w:tc>
        <w:tc>
          <w:tcPr>
            <w:tcW w:type="dxa" w:w="1683"/>
            <w:tcMar>
              <w:top w:type="dxa" w:w="60"/>
              <w:left w:type="dxa" w:w="80"/>
              <w:bottom w:type="dxa" w:w="60"/>
              <w:right w:type="dxa" w:w="80"/>
            </w:tcMar>
          </w:tcPr>
          <w:p>
            <w:r>
              <w:rPr>
                <w:b w:val="false"/>
                <w:bCs w:val="false"/>
                <w:sz w:val="20"/>
                <w:szCs w:val="20"/>
              </w:rPr>
              <w:t xml:space="preserve">0.941</w:t>
            </w:r>
          </w:p>
        </w:tc>
        <w:tc>
          <w:tcPr>
            <w:tcW w:type="dxa" w:w="1684"/>
            <w:tcMar>
              <w:top w:type="dxa" w:w="60"/>
              <w:left w:type="dxa" w:w="80"/>
              <w:bottom w:type="dxa" w:w="60"/>
              <w:right w:type="dxa" w:w="80"/>
            </w:tcMar>
          </w:tcPr>
          <w:p>
            <w:r>
              <w:rPr>
                <w:b w:val="false"/>
                <w:bCs w:val="false"/>
                <w:sz w:val="20"/>
                <w:szCs w:val="20"/>
              </w:rPr>
              <w:t xml:space="preserve">0.882</w:t>
            </w:r>
          </w:p>
        </w:tc>
      </w:tr>
      <w:tr>
        <w:tc>
          <w:tcPr>
            <w:tcW w:type="dxa" w:w="1900"/>
            <w:tcMar>
              <w:top w:type="dxa" w:w="60"/>
              <w:left w:type="dxa" w:w="80"/>
              <w:bottom w:type="dxa" w:w="60"/>
              <w:right w:type="dxa" w:w="80"/>
            </w:tcMar>
          </w:tcPr>
          <w:p>
            <w:r>
              <w:rPr>
                <w:b w:val="false"/>
                <w:bCs w:val="false"/>
                <w:sz w:val="20"/>
                <w:szCs w:val="20"/>
              </w:rPr>
              <w:t xml:space="preserve">10,000</w:t>
            </w:r>
          </w:p>
        </w:tc>
        <w:tc>
          <w:tcPr>
            <w:tcW w:type="dxa" w:w="2400"/>
            <w:tcMar>
              <w:top w:type="dxa" w:w="60"/>
              <w:left w:type="dxa" w:w="80"/>
              <w:bottom w:type="dxa" w:w="60"/>
              <w:right w:type="dxa" w:w="80"/>
            </w:tcMar>
          </w:tcPr>
          <w:p>
            <w:r>
              <w:rPr>
                <w:b w:val="false"/>
                <w:bCs w:val="false"/>
                <w:sz w:val="20"/>
                <w:szCs w:val="20"/>
              </w:rPr>
              <w:t xml:space="preserve">ASPIRE</w:t>
            </w:r>
          </w:p>
        </w:tc>
        <w:tc>
          <w:tcPr>
            <w:tcW w:type="dxa" w:w="1683"/>
            <w:tcMar>
              <w:top w:type="dxa" w:w="60"/>
              <w:left w:type="dxa" w:w="80"/>
              <w:bottom w:type="dxa" w:w="60"/>
              <w:right w:type="dxa" w:w="80"/>
            </w:tcMar>
          </w:tcPr>
          <w:p>
            <w:r>
              <w:rPr>
                <w:b w:val="false"/>
                <w:bCs w:val="false"/>
                <w:sz w:val="20"/>
                <w:szCs w:val="20"/>
              </w:rPr>
              <w:t xml:space="preserve">0.847</w:t>
            </w:r>
          </w:p>
        </w:tc>
        <w:tc>
          <w:tcPr>
            <w:tcW w:type="dxa" w:w="1683"/>
            <w:tcMar>
              <w:top w:type="dxa" w:w="60"/>
              <w:left w:type="dxa" w:w="80"/>
              <w:bottom w:type="dxa" w:w="60"/>
              <w:right w:type="dxa" w:w="80"/>
            </w:tcMar>
          </w:tcPr>
          <w:p>
            <w:r>
              <w:rPr>
                <w:b w:val="false"/>
                <w:bCs w:val="false"/>
                <w:sz w:val="20"/>
                <w:szCs w:val="20"/>
              </w:rPr>
              <w:t xml:space="preserve">0.953</w:t>
            </w:r>
          </w:p>
        </w:tc>
        <w:tc>
          <w:tcPr>
            <w:tcW w:type="dxa" w:w="1684"/>
            <w:tcMar>
              <w:top w:type="dxa" w:w="60"/>
              <w:left w:type="dxa" w:w="80"/>
              <w:bottom w:type="dxa" w:w="60"/>
              <w:right w:type="dxa" w:w="80"/>
            </w:tcMar>
          </w:tcPr>
          <w:p>
            <w:r>
              <w:rPr>
                <w:b w:val="false"/>
                <w:bCs w:val="false"/>
                <w:sz w:val="20"/>
                <w:szCs w:val="20"/>
              </w:rPr>
              <w:t xml:space="preserve">0.896</w:t>
            </w:r>
          </w:p>
        </w:tc>
      </w:tr>
      <w:tr>
        <w:tc>
          <w:tcPr>
            <w:tcW w:type="dxa" w:w="1900"/>
            <w:tcMar>
              <w:top w:type="dxa" w:w="60"/>
              <w:left w:type="dxa" w:w="80"/>
              <w:bottom w:type="dxa" w:w="60"/>
              <w:right w:type="dxa" w:w="80"/>
            </w:tcMar>
          </w:tcPr>
          <w:p>
            <w:r>
              <w:rPr>
                <w:b w:val="false"/>
                <w:bCs w:val="false"/>
                <w:sz w:val="20"/>
                <w:szCs w:val="20"/>
              </w:rPr>
              <w:t xml:space="preserve">30,000</w:t>
            </w:r>
          </w:p>
        </w:tc>
        <w:tc>
          <w:tcPr>
            <w:tcW w:type="dxa" w:w="2400"/>
            <w:tcMar>
              <w:top w:type="dxa" w:w="60"/>
              <w:left w:type="dxa" w:w="80"/>
              <w:bottom w:type="dxa" w:w="60"/>
              <w:right w:type="dxa" w:w="80"/>
            </w:tcMar>
          </w:tcPr>
          <w:p>
            <w:r>
              <w:rPr>
                <w:b w:val="false"/>
                <w:bCs w:val="false"/>
                <w:sz w:val="20"/>
                <w:szCs w:val="20"/>
              </w:rPr>
              <w:t xml:space="preserve">Transformer</w:t>
            </w:r>
          </w:p>
        </w:tc>
        <w:tc>
          <w:tcPr>
            <w:tcW w:type="dxa" w:w="1683"/>
            <w:tcMar>
              <w:top w:type="dxa" w:w="60"/>
              <w:left w:type="dxa" w:w="80"/>
              <w:bottom w:type="dxa" w:w="60"/>
              <w:right w:type="dxa" w:w="80"/>
            </w:tcMar>
          </w:tcPr>
          <w:p>
            <w:r>
              <w:rPr>
                <w:b w:val="false"/>
                <w:bCs w:val="false"/>
                <w:sz w:val="20"/>
                <w:szCs w:val="20"/>
              </w:rPr>
              <w:t xml:space="preserve">0.688</w:t>
            </w:r>
          </w:p>
        </w:tc>
        <w:tc>
          <w:tcPr>
            <w:tcW w:type="dxa" w:w="1683"/>
            <w:tcMar>
              <w:top w:type="dxa" w:w="60"/>
              <w:left w:type="dxa" w:w="80"/>
              <w:bottom w:type="dxa" w:w="60"/>
              <w:right w:type="dxa" w:w="80"/>
            </w:tcMar>
          </w:tcPr>
          <w:p>
            <w:r>
              <w:rPr>
                <w:b w:val="false"/>
                <w:bCs w:val="false"/>
                <w:sz w:val="20"/>
                <w:szCs w:val="20"/>
              </w:rPr>
              <w:t xml:space="preserve">0.941</w:t>
            </w:r>
          </w:p>
        </w:tc>
        <w:tc>
          <w:tcPr>
            <w:tcW w:type="dxa" w:w="1684"/>
            <w:tcMar>
              <w:top w:type="dxa" w:w="60"/>
              <w:left w:type="dxa" w:w="80"/>
              <w:bottom w:type="dxa" w:w="60"/>
              <w:right w:type="dxa" w:w="80"/>
            </w:tcMar>
          </w:tcPr>
          <w:p>
            <w:r>
              <w:rPr>
                <w:b w:val="false"/>
                <w:bCs w:val="false"/>
                <w:sz w:val="20"/>
                <w:szCs w:val="20"/>
              </w:rPr>
              <w:t xml:space="preserve">0.795</w:t>
            </w:r>
          </w:p>
        </w:tc>
      </w:tr>
      <w:tr>
        <w:tc>
          <w:tcPr>
            <w:tcW w:type="dxa" w:w="1900"/>
            <w:tcMar>
              <w:top w:type="dxa" w:w="60"/>
              <w:left w:type="dxa" w:w="80"/>
              <w:bottom w:type="dxa" w:w="60"/>
              <w:right w:type="dxa" w:w="80"/>
            </w:tcMar>
          </w:tcPr>
          <w:p>
            <w:r>
              <w:rPr>
                <w:b w:val="false"/>
                <w:bCs w:val="false"/>
                <w:sz w:val="20"/>
                <w:szCs w:val="20"/>
              </w:rPr>
              <w:t xml:space="preserve">30,000</w:t>
            </w:r>
          </w:p>
        </w:tc>
        <w:tc>
          <w:tcPr>
            <w:tcW w:type="dxa" w:w="2400"/>
            <w:tcMar>
              <w:top w:type="dxa" w:w="60"/>
              <w:left w:type="dxa" w:w="80"/>
              <w:bottom w:type="dxa" w:w="60"/>
              <w:right w:type="dxa" w:w="80"/>
            </w:tcMar>
          </w:tcPr>
          <w:p>
            <w:r>
              <w:rPr>
                <w:b w:val="false"/>
                <w:bCs w:val="false"/>
                <w:sz w:val="20"/>
                <w:szCs w:val="20"/>
              </w:rPr>
              <w:t xml:space="preserve">ASPIRE</w:t>
            </w:r>
          </w:p>
        </w:tc>
        <w:tc>
          <w:tcPr>
            <w:tcW w:type="dxa" w:w="1683"/>
            <w:tcMar>
              <w:top w:type="dxa" w:w="60"/>
              <w:left w:type="dxa" w:w="80"/>
              <w:bottom w:type="dxa" w:w="60"/>
              <w:right w:type="dxa" w:w="80"/>
            </w:tcMar>
          </w:tcPr>
          <w:p>
            <w:r>
              <w:rPr>
                <w:b w:val="false"/>
                <w:bCs w:val="false"/>
                <w:sz w:val="20"/>
                <w:szCs w:val="20"/>
              </w:rPr>
              <w:t xml:space="preserve">0.704</w:t>
            </w:r>
          </w:p>
        </w:tc>
        <w:tc>
          <w:tcPr>
            <w:tcW w:type="dxa" w:w="1683"/>
            <w:tcMar>
              <w:top w:type="dxa" w:w="60"/>
              <w:left w:type="dxa" w:w="80"/>
              <w:bottom w:type="dxa" w:w="60"/>
              <w:right w:type="dxa" w:w="80"/>
            </w:tcMar>
          </w:tcPr>
          <w:p>
            <w:r>
              <w:rPr>
                <w:b w:val="false"/>
                <w:bCs w:val="false"/>
                <w:sz w:val="20"/>
                <w:szCs w:val="20"/>
              </w:rPr>
              <w:t xml:space="preserve">0.953</w:t>
            </w:r>
          </w:p>
        </w:tc>
        <w:tc>
          <w:tcPr>
            <w:tcW w:type="dxa" w:w="1684"/>
            <w:tcMar>
              <w:top w:type="dxa" w:w="60"/>
              <w:left w:type="dxa" w:w="80"/>
              <w:bottom w:type="dxa" w:w="60"/>
              <w:right w:type="dxa" w:w="80"/>
            </w:tcMar>
          </w:tcPr>
          <w:p>
            <w:r>
              <w:rPr>
                <w:b w:val="false"/>
                <w:bCs w:val="false"/>
                <w:sz w:val="20"/>
                <w:szCs w:val="20"/>
              </w:rPr>
              <w:t xml:space="preserve">0.809</w:t>
            </w:r>
          </w:p>
        </w:tc>
      </w:tr>
    </w:tbl>
    <w:p>
      <w:pPr>
        <w:pStyle w:val="Heading2"/>
        <w:spacing w:after="100" w:before="220"/>
      </w:pPr>
      <w:r>
        <w:t xml:space="preserve">8.4 Table 11 — ablation, 2,000-window holdout (PAPER-REPORTED)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350"/>
        <w:gridCol w:w="1667"/>
        <w:gridCol w:w="1667"/>
        <w:gridCol w:w="1666"/>
      </w:tblGrid>
      <w:tr>
        <w:trPr>
          <w:tblHeader/>
        </w:trPr>
        <w:tc>
          <w:tcPr>
            <w:tcW w:type="dxa" w:w="4350"/>
            <w:shd w:fill="EAF2FB" w:val="clear"/>
            <w:tcMar>
              <w:top w:type="dxa" w:w="60"/>
              <w:left w:type="dxa" w:w="80"/>
              <w:bottom w:type="dxa" w:w="60"/>
              <w:right w:type="dxa" w:w="80"/>
            </w:tcMar>
          </w:tcPr>
          <w:p>
            <w:r>
              <w:rPr>
                <w:b/>
                <w:bCs/>
                <w:sz w:val="20"/>
                <w:szCs w:val="20"/>
              </w:rPr>
              <w:t xml:space="preserve">Variant</w:t>
            </w:r>
          </w:p>
        </w:tc>
        <w:tc>
          <w:tcPr>
            <w:tcW w:type="dxa" w:w="1667"/>
            <w:shd w:fill="EAF2FB" w:val="clear"/>
            <w:tcMar>
              <w:top w:type="dxa" w:w="60"/>
              <w:left w:type="dxa" w:w="80"/>
              <w:bottom w:type="dxa" w:w="60"/>
              <w:right w:type="dxa" w:w="80"/>
            </w:tcMar>
          </w:tcPr>
          <w:p>
            <w:r>
              <w:rPr>
                <w:b/>
                <w:bCs/>
                <w:sz w:val="20"/>
                <w:szCs w:val="20"/>
              </w:rPr>
              <w:t xml:space="preserve">Precision</w:t>
            </w:r>
          </w:p>
        </w:tc>
        <w:tc>
          <w:tcPr>
            <w:tcW w:type="dxa" w:w="1667"/>
            <w:shd w:fill="EAF2FB" w:val="clear"/>
            <w:tcMar>
              <w:top w:type="dxa" w:w="60"/>
              <w:left w:type="dxa" w:w="80"/>
              <w:bottom w:type="dxa" w:w="60"/>
              <w:right w:type="dxa" w:w="80"/>
            </w:tcMar>
          </w:tcPr>
          <w:p>
            <w:r>
              <w:rPr>
                <w:b/>
                <w:bCs/>
                <w:sz w:val="20"/>
                <w:szCs w:val="20"/>
              </w:rPr>
              <w:t xml:space="preserve">Recall</w:t>
            </w:r>
          </w:p>
        </w:tc>
        <w:tc>
          <w:tcPr>
            <w:tcW w:type="dxa" w:w="1666"/>
            <w:shd w:fill="EAF2FB" w:val="clear"/>
            <w:tcMar>
              <w:top w:type="dxa" w:w="60"/>
              <w:left w:type="dxa" w:w="80"/>
              <w:bottom w:type="dxa" w:w="60"/>
              <w:right w:type="dxa" w:w="80"/>
            </w:tcMar>
          </w:tcPr>
          <w:p>
            <w:r>
              <w:rPr>
                <w:b/>
                <w:bCs/>
                <w:sz w:val="20"/>
                <w:szCs w:val="20"/>
              </w:rPr>
              <w:t xml:space="preserve">F1</w:t>
            </w:r>
          </w:p>
        </w:tc>
      </w:tr>
      <w:tr>
        <w:tc>
          <w:tcPr>
            <w:tcW w:type="dxa" w:w="4350"/>
            <w:tcMar>
              <w:top w:type="dxa" w:w="60"/>
              <w:left w:type="dxa" w:w="80"/>
              <w:bottom w:type="dxa" w:w="60"/>
              <w:right w:type="dxa" w:w="80"/>
            </w:tcMar>
          </w:tcPr>
          <w:p>
            <w:r>
              <w:rPr>
                <w:b w:val="false"/>
                <w:bCs w:val="false"/>
                <w:sz w:val="20"/>
                <w:szCs w:val="20"/>
              </w:rPr>
              <w:t xml:space="preserve">V0: Transformer baseline (argmax only)</w:t>
            </w:r>
          </w:p>
        </w:tc>
        <w:tc>
          <w:tcPr>
            <w:tcW w:type="dxa" w:w="1667"/>
            <w:tcMar>
              <w:top w:type="dxa" w:w="60"/>
              <w:left w:type="dxa" w:w="80"/>
              <w:bottom w:type="dxa" w:w="60"/>
              <w:right w:type="dxa" w:w="80"/>
            </w:tcMar>
          </w:tcPr>
          <w:p>
            <w:r>
              <w:rPr>
                <w:b w:val="false"/>
                <w:bCs w:val="false"/>
                <w:sz w:val="20"/>
                <w:szCs w:val="20"/>
              </w:rPr>
              <w:t xml:space="preserve">0.875</w:t>
            </w:r>
          </w:p>
        </w:tc>
        <w:tc>
          <w:tcPr>
            <w:tcW w:type="dxa" w:w="1667"/>
            <w:tcMar>
              <w:top w:type="dxa" w:w="60"/>
              <w:left w:type="dxa" w:w="80"/>
              <w:bottom w:type="dxa" w:w="60"/>
              <w:right w:type="dxa" w:w="80"/>
            </w:tcMar>
          </w:tcPr>
          <w:p>
            <w:r>
              <w:rPr>
                <w:b w:val="false"/>
                <w:bCs w:val="false"/>
                <w:sz w:val="20"/>
                <w:szCs w:val="20"/>
              </w:rPr>
              <w:t xml:space="preserve">0.941</w:t>
            </w:r>
          </w:p>
        </w:tc>
        <w:tc>
          <w:tcPr>
            <w:tcW w:type="dxa" w:w="1666"/>
            <w:tcMar>
              <w:top w:type="dxa" w:w="60"/>
              <w:left w:type="dxa" w:w="80"/>
              <w:bottom w:type="dxa" w:w="60"/>
              <w:right w:type="dxa" w:w="80"/>
            </w:tcMar>
          </w:tcPr>
          <w:p>
            <w:r>
              <w:rPr>
                <w:b w:val="false"/>
                <w:bCs w:val="false"/>
                <w:sz w:val="20"/>
                <w:szCs w:val="20"/>
              </w:rPr>
              <w:t xml:space="preserve">0.906</w:t>
            </w:r>
          </w:p>
        </w:tc>
      </w:tr>
      <w:tr>
        <w:tc>
          <w:tcPr>
            <w:tcW w:type="dxa" w:w="4350"/>
            <w:tcMar>
              <w:top w:type="dxa" w:w="60"/>
              <w:left w:type="dxa" w:w="80"/>
              <w:bottom w:type="dxa" w:w="60"/>
              <w:right w:type="dxa" w:w="80"/>
            </w:tcMar>
          </w:tcPr>
          <w:p>
            <w:r>
              <w:rPr>
                <w:b w:val="false"/>
                <w:bCs w:val="false"/>
                <w:sz w:val="20"/>
                <w:szCs w:val="20"/>
              </w:rPr>
              <w:t xml:space="preserve">V1: Full ASPIRE (reported)</w:t>
            </w:r>
          </w:p>
        </w:tc>
        <w:tc>
          <w:tcPr>
            <w:tcW w:type="dxa" w:w="1667"/>
            <w:tcMar>
              <w:top w:type="dxa" w:w="60"/>
              <w:left w:type="dxa" w:w="80"/>
              <w:bottom w:type="dxa" w:w="60"/>
              <w:right w:type="dxa" w:w="80"/>
            </w:tcMar>
          </w:tcPr>
          <w:p>
            <w:r>
              <w:rPr>
                <w:b w:val="false"/>
                <w:bCs w:val="false"/>
                <w:sz w:val="20"/>
                <w:szCs w:val="20"/>
              </w:rPr>
              <w:t xml:space="preserve">0.889</w:t>
            </w:r>
          </w:p>
        </w:tc>
        <w:tc>
          <w:tcPr>
            <w:tcW w:type="dxa" w:w="1667"/>
            <w:tcMar>
              <w:top w:type="dxa" w:w="60"/>
              <w:left w:type="dxa" w:w="80"/>
              <w:bottom w:type="dxa" w:w="60"/>
              <w:right w:type="dxa" w:w="80"/>
            </w:tcMar>
          </w:tcPr>
          <w:p>
            <w:r>
              <w:rPr>
                <w:b w:val="false"/>
                <w:bCs w:val="false"/>
                <w:sz w:val="20"/>
                <w:szCs w:val="20"/>
              </w:rPr>
              <w:t xml:space="preserve">0.953</w:t>
            </w:r>
          </w:p>
        </w:tc>
        <w:tc>
          <w:tcPr>
            <w:tcW w:type="dxa" w:w="1666"/>
            <w:tcMar>
              <w:top w:type="dxa" w:w="60"/>
              <w:left w:type="dxa" w:w="80"/>
              <w:bottom w:type="dxa" w:w="60"/>
              <w:right w:type="dxa" w:w="80"/>
            </w:tcMar>
          </w:tcPr>
          <w:p>
            <w:r>
              <w:rPr>
                <w:b w:val="false"/>
                <w:bCs w:val="false"/>
                <w:sz w:val="20"/>
                <w:szCs w:val="20"/>
              </w:rPr>
              <w:t xml:space="preserve">0.920</w:t>
            </w:r>
          </w:p>
        </w:tc>
      </w:tr>
      <w:tr>
        <w:tc>
          <w:tcPr>
            <w:tcW w:type="dxa" w:w="4350"/>
            <w:tcMar>
              <w:top w:type="dxa" w:w="60"/>
              <w:left w:type="dxa" w:w="80"/>
              <w:bottom w:type="dxa" w:w="60"/>
              <w:right w:type="dxa" w:w="80"/>
            </w:tcMar>
          </w:tcPr>
          <w:p>
            <w:r>
              <w:rPr>
                <w:b w:val="false"/>
                <w:bCs w:val="false"/>
                <w:sz w:val="20"/>
                <w:szCs w:val="20"/>
              </w:rPr>
              <w:t xml:space="preserve">V2: No sensor agents</w:t>
            </w:r>
          </w:p>
        </w:tc>
        <w:tc>
          <w:tcPr>
            <w:tcW w:type="dxa" w:w="1667"/>
            <w:tcMar>
              <w:top w:type="dxa" w:w="60"/>
              <w:left w:type="dxa" w:w="80"/>
              <w:bottom w:type="dxa" w:w="60"/>
              <w:right w:type="dxa" w:w="80"/>
            </w:tcMar>
          </w:tcPr>
          <w:p>
            <w:r>
              <w:rPr>
                <w:b w:val="false"/>
                <w:bCs w:val="false"/>
                <w:sz w:val="20"/>
                <w:szCs w:val="20"/>
              </w:rPr>
              <w:t xml:space="preserve">0.889</w:t>
            </w:r>
          </w:p>
        </w:tc>
        <w:tc>
          <w:tcPr>
            <w:tcW w:type="dxa" w:w="1667"/>
            <w:tcMar>
              <w:top w:type="dxa" w:w="60"/>
              <w:left w:type="dxa" w:w="80"/>
              <w:bottom w:type="dxa" w:w="60"/>
              <w:right w:type="dxa" w:w="80"/>
            </w:tcMar>
          </w:tcPr>
          <w:p>
            <w:r>
              <w:rPr>
                <w:b w:val="false"/>
                <w:bCs w:val="false"/>
                <w:sz w:val="20"/>
                <w:szCs w:val="20"/>
              </w:rPr>
              <w:t xml:space="preserve">0.953</w:t>
            </w:r>
          </w:p>
        </w:tc>
        <w:tc>
          <w:tcPr>
            <w:tcW w:type="dxa" w:w="1666"/>
            <w:tcMar>
              <w:top w:type="dxa" w:w="60"/>
              <w:left w:type="dxa" w:w="80"/>
              <w:bottom w:type="dxa" w:w="60"/>
              <w:right w:type="dxa" w:w="80"/>
            </w:tcMar>
          </w:tcPr>
          <w:p>
            <w:r>
              <w:rPr>
                <w:b w:val="false"/>
                <w:bCs w:val="false"/>
                <w:sz w:val="20"/>
                <w:szCs w:val="20"/>
              </w:rPr>
              <w:t xml:space="preserve">0.920</w:t>
            </w:r>
          </w:p>
        </w:tc>
      </w:tr>
      <w:tr>
        <w:tc>
          <w:tcPr>
            <w:tcW w:type="dxa" w:w="4350"/>
            <w:tcMar>
              <w:top w:type="dxa" w:w="60"/>
              <w:left w:type="dxa" w:w="80"/>
              <w:bottom w:type="dxa" w:w="60"/>
              <w:right w:type="dxa" w:w="80"/>
            </w:tcMar>
          </w:tcPr>
          <w:p>
            <w:r>
              <w:rPr>
                <w:b w:val="false"/>
                <w:bCs w:val="false"/>
                <w:sz w:val="20"/>
                <w:szCs w:val="20"/>
              </w:rPr>
              <w:t xml:space="preserve">V3: No window agent</w:t>
            </w:r>
          </w:p>
        </w:tc>
        <w:tc>
          <w:tcPr>
            <w:tcW w:type="dxa" w:w="1667"/>
            <w:tcMar>
              <w:top w:type="dxa" w:w="60"/>
              <w:left w:type="dxa" w:w="80"/>
              <w:bottom w:type="dxa" w:w="60"/>
              <w:right w:type="dxa" w:w="80"/>
            </w:tcMar>
          </w:tcPr>
          <w:p>
            <w:r>
              <w:rPr>
                <w:b w:val="false"/>
                <w:bCs w:val="false"/>
                <w:sz w:val="20"/>
                <w:szCs w:val="20"/>
              </w:rPr>
              <w:t xml:space="preserve">0.913</w:t>
            </w:r>
          </w:p>
        </w:tc>
        <w:tc>
          <w:tcPr>
            <w:tcW w:type="dxa" w:w="1667"/>
            <w:tcMar>
              <w:top w:type="dxa" w:w="60"/>
              <w:left w:type="dxa" w:w="80"/>
              <w:bottom w:type="dxa" w:w="60"/>
              <w:right w:type="dxa" w:w="80"/>
            </w:tcMar>
          </w:tcPr>
          <w:p>
            <w:r>
              <w:rPr>
                <w:b w:val="false"/>
                <w:bCs w:val="false"/>
                <w:sz w:val="20"/>
                <w:szCs w:val="20"/>
              </w:rPr>
              <w:t xml:space="preserve">0.920</w:t>
            </w:r>
          </w:p>
        </w:tc>
        <w:tc>
          <w:tcPr>
            <w:tcW w:type="dxa" w:w="1666"/>
            <w:tcMar>
              <w:top w:type="dxa" w:w="60"/>
              <w:left w:type="dxa" w:w="80"/>
              <w:bottom w:type="dxa" w:w="60"/>
              <w:right w:type="dxa" w:w="80"/>
            </w:tcMar>
          </w:tcPr>
          <w:p>
            <w:r>
              <w:rPr>
                <w:b w:val="false"/>
                <w:bCs w:val="false"/>
                <w:sz w:val="20"/>
                <w:szCs w:val="20"/>
              </w:rPr>
              <w:t xml:space="preserve">0.916</w:t>
            </w:r>
          </w:p>
        </w:tc>
      </w:tr>
      <w:tr>
        <w:tc>
          <w:tcPr>
            <w:tcW w:type="dxa" w:w="4350"/>
            <w:tcMar>
              <w:top w:type="dxa" w:w="60"/>
              <w:left w:type="dxa" w:w="80"/>
              <w:bottom w:type="dxa" w:w="60"/>
              <w:right w:type="dxa" w:w="80"/>
            </w:tcMar>
          </w:tcPr>
          <w:p>
            <w:r>
              <w:rPr>
                <w:b w:val="false"/>
                <w:bCs w:val="false"/>
                <w:sz w:val="20"/>
                <w:szCs w:val="20"/>
              </w:rPr>
              <w:t xml:space="preserve">V4: No margin gate</w:t>
            </w:r>
          </w:p>
        </w:tc>
        <w:tc>
          <w:tcPr>
            <w:tcW w:type="dxa" w:w="1667"/>
            <w:tcMar>
              <w:top w:type="dxa" w:w="60"/>
              <w:left w:type="dxa" w:w="80"/>
              <w:bottom w:type="dxa" w:w="60"/>
              <w:right w:type="dxa" w:w="80"/>
            </w:tcMar>
          </w:tcPr>
          <w:p>
            <w:r>
              <w:rPr>
                <w:b w:val="false"/>
                <w:bCs w:val="false"/>
                <w:sz w:val="20"/>
                <w:szCs w:val="20"/>
              </w:rPr>
              <w:t xml:space="preserve">0.875</w:t>
            </w:r>
          </w:p>
        </w:tc>
        <w:tc>
          <w:tcPr>
            <w:tcW w:type="dxa" w:w="1667"/>
            <w:tcMar>
              <w:top w:type="dxa" w:w="60"/>
              <w:left w:type="dxa" w:w="80"/>
              <w:bottom w:type="dxa" w:w="60"/>
              <w:right w:type="dxa" w:w="80"/>
            </w:tcMar>
          </w:tcPr>
          <w:p>
            <w:r>
              <w:rPr>
                <w:b w:val="false"/>
                <w:bCs w:val="false"/>
                <w:sz w:val="20"/>
                <w:szCs w:val="20"/>
              </w:rPr>
              <w:t xml:space="preserve">0.941</w:t>
            </w:r>
          </w:p>
        </w:tc>
        <w:tc>
          <w:tcPr>
            <w:tcW w:type="dxa" w:w="1666"/>
            <w:tcMar>
              <w:top w:type="dxa" w:w="60"/>
              <w:left w:type="dxa" w:w="80"/>
              <w:bottom w:type="dxa" w:w="60"/>
              <w:right w:type="dxa" w:w="80"/>
            </w:tcMar>
          </w:tcPr>
          <w:p>
            <w:r>
              <w:rPr>
                <w:b w:val="false"/>
                <w:bCs w:val="false"/>
                <w:sz w:val="20"/>
                <w:szCs w:val="20"/>
              </w:rPr>
              <w:t xml:space="preserve">0.906</w:t>
            </w:r>
          </w:p>
        </w:tc>
      </w:tr>
      <w:tr>
        <w:tc>
          <w:tcPr>
            <w:tcW w:type="dxa" w:w="4350"/>
            <w:tcMar>
              <w:top w:type="dxa" w:w="60"/>
              <w:left w:type="dxa" w:w="80"/>
              <w:bottom w:type="dxa" w:w="60"/>
              <w:right w:type="dxa" w:w="80"/>
            </w:tcMar>
          </w:tcPr>
          <w:p>
            <w:r>
              <w:rPr>
                <w:b w:val="false"/>
                <w:bCs w:val="false"/>
                <w:sz w:val="20"/>
                <w:szCs w:val="20"/>
              </w:rPr>
              <w:t xml:space="preserve">V5: No near-miss recovery</w:t>
            </w:r>
          </w:p>
        </w:tc>
        <w:tc>
          <w:tcPr>
            <w:tcW w:type="dxa" w:w="1667"/>
            <w:tcMar>
              <w:top w:type="dxa" w:w="60"/>
              <w:left w:type="dxa" w:w="80"/>
              <w:bottom w:type="dxa" w:w="60"/>
              <w:right w:type="dxa" w:w="80"/>
            </w:tcMar>
          </w:tcPr>
          <w:p>
            <w:r>
              <w:rPr>
                <w:b w:val="false"/>
                <w:bCs w:val="false"/>
                <w:sz w:val="20"/>
                <w:szCs w:val="20"/>
              </w:rPr>
              <w:t xml:space="preserve">0.914</w:t>
            </w:r>
          </w:p>
        </w:tc>
        <w:tc>
          <w:tcPr>
            <w:tcW w:type="dxa" w:w="1667"/>
            <w:tcMar>
              <w:top w:type="dxa" w:w="60"/>
              <w:left w:type="dxa" w:w="80"/>
              <w:bottom w:type="dxa" w:w="60"/>
              <w:right w:type="dxa" w:w="80"/>
            </w:tcMar>
          </w:tcPr>
          <w:p>
            <w:r>
              <w:rPr>
                <w:b w:val="false"/>
                <w:bCs w:val="false"/>
                <w:sz w:val="20"/>
                <w:szCs w:val="20"/>
              </w:rPr>
              <w:t xml:space="preserve">0.917</w:t>
            </w:r>
          </w:p>
        </w:tc>
        <w:tc>
          <w:tcPr>
            <w:tcW w:type="dxa" w:w="1666"/>
            <w:tcMar>
              <w:top w:type="dxa" w:w="60"/>
              <w:left w:type="dxa" w:w="80"/>
              <w:bottom w:type="dxa" w:w="60"/>
              <w:right w:type="dxa" w:w="80"/>
            </w:tcMar>
          </w:tcPr>
          <w:p>
            <w:r>
              <w:rPr>
                <w:b w:val="false"/>
                <w:bCs w:val="false"/>
                <w:sz w:val="20"/>
                <w:szCs w:val="20"/>
              </w:rPr>
              <w:t xml:space="preserve">0.915</w:t>
            </w:r>
          </w:p>
        </w:tc>
      </w:tr>
      <w:tr>
        <w:tc>
          <w:tcPr>
            <w:tcW w:type="dxa" w:w="4350"/>
            <w:tcMar>
              <w:top w:type="dxa" w:w="60"/>
              <w:left w:type="dxa" w:w="80"/>
              <w:bottom w:type="dxa" w:w="60"/>
              <w:right w:type="dxa" w:w="80"/>
            </w:tcMar>
          </w:tcPr>
          <w:p>
            <w:r>
              <w:rPr>
                <w:b w:val="false"/>
                <w:bCs w:val="false"/>
                <w:sz w:val="20"/>
                <w:szCs w:val="20"/>
              </w:rPr>
              <w:t xml:space="preserve">V6: Post-processing baseline</w:t>
            </w:r>
          </w:p>
        </w:tc>
        <w:tc>
          <w:tcPr>
            <w:tcW w:type="dxa" w:w="1667"/>
            <w:tcMar>
              <w:top w:type="dxa" w:w="60"/>
              <w:left w:type="dxa" w:w="80"/>
              <w:bottom w:type="dxa" w:w="60"/>
              <w:right w:type="dxa" w:w="80"/>
            </w:tcMar>
          </w:tcPr>
          <w:p>
            <w:r>
              <w:rPr>
                <w:b w:val="false"/>
                <w:bCs w:val="false"/>
                <w:sz w:val="20"/>
                <w:szCs w:val="20"/>
              </w:rPr>
              <w:t xml:space="preserve">0.914</w:t>
            </w:r>
          </w:p>
        </w:tc>
        <w:tc>
          <w:tcPr>
            <w:tcW w:type="dxa" w:w="1667"/>
            <w:tcMar>
              <w:top w:type="dxa" w:w="60"/>
              <w:left w:type="dxa" w:w="80"/>
              <w:bottom w:type="dxa" w:w="60"/>
              <w:right w:type="dxa" w:w="80"/>
            </w:tcMar>
          </w:tcPr>
          <w:p>
            <w:r>
              <w:rPr>
                <w:b w:val="false"/>
                <w:bCs w:val="false"/>
                <w:sz w:val="20"/>
                <w:szCs w:val="20"/>
              </w:rPr>
              <w:t xml:space="preserve">0.917</w:t>
            </w:r>
          </w:p>
        </w:tc>
        <w:tc>
          <w:tcPr>
            <w:tcW w:type="dxa" w:w="1666"/>
            <w:tcMar>
              <w:top w:type="dxa" w:w="60"/>
              <w:left w:type="dxa" w:w="80"/>
              <w:bottom w:type="dxa" w:w="60"/>
              <w:right w:type="dxa" w:w="80"/>
            </w:tcMar>
          </w:tcPr>
          <w:p>
            <w:r>
              <w:rPr>
                <w:b w:val="false"/>
                <w:bCs w:val="false"/>
                <w:sz w:val="20"/>
                <w:szCs w:val="20"/>
              </w:rPr>
              <w:t xml:space="preserve">0.915</w:t>
            </w:r>
          </w:p>
        </w:tc>
      </w:tr>
    </w:tbl>
    <w:p>
      <w:pPr>
        <w:pStyle w:val="Heading2"/>
        <w:spacing w:after="100" w:before="220"/>
      </w:pPr>
      <w:r>
        <w:t xml:space="preserve">8.5 Cost-efficiency findings (Section IV-H, PAPER-REPORTED)</w:t>
      </w:r>
    </w:p>
    <w:p>
      <w:pPr>
        <w:pStyle w:val="ListParagraph"/>
        <w:numPr>
          <w:ilvl w:val="0"/>
          <w:numId w:val="1"/>
        </w:numPr>
        <w:spacing w:after="60"/>
      </w:pPr>
      <w:r>
        <w:t xml:space="preserve">ASPIRE is cost-efficient (FMCR &lt; Precision) for all FMCR &lt; 0.889, vs. FMCR &lt; 0.875 for the Transformer.</w:t>
      </w:r>
    </w:p>
    <w:p>
      <w:pPr>
        <w:pStyle w:val="ListParagraph"/>
        <w:numPr>
          <w:ilvl w:val="0"/>
          <w:numId w:val="1"/>
        </w:numPr>
        <w:spacing w:after="60"/>
      </w:pPr>
      <w:r>
        <w:t xml:space="preserve">At FMCR=0.20, CER gain = 0.015 (ASPIRE 0.922 vs Transformer 0.907); at FMCR=0.50, gain widens to 0.028 (0.834 vs 0.806).</w:t>
      </w:r>
    </w:p>
    <w:p>
      <w:pPr>
        <w:pStyle w:val="ListParagraph"/>
        <w:numPr>
          <w:ilvl w:val="0"/>
          <w:numId w:val="1"/>
        </w:numPr>
        <w:spacing w:after="60"/>
      </w:pPr>
      <w:r>
        <w:t xml:space="preserve">Incremental utility ΔU = 8·C_F + 4·C_R, positive for any C_F, C_R &gt; 0 (8 missed warnings converted to true warnings, 12 false alarms avoided per 2,000 windows).</w:t>
      </w:r>
    </w:p>
    <w:p>
      <w:pPr>
        <w:spacing w:after="140"/>
      </w:pPr>
      <w:r>
        <w:rPr>
          <w:i/>
          <w:iCs/>
          <w:color w:val="555555"/>
          <w:sz w:val="20"/>
          <w:szCs w:val="20"/>
        </w:rPr>
        <w:t xml:space="preserve">These are the authors' own numbers, on their own train/test/holdout split, their own random seeds, and (for several parameters) calibration values not fully published. Reproducing the exact figures bit-for-bit is not realistically achievable from the paper text alone — treat Section 9 below as the honest expectation-setting for your own run.</w:t>
      </w:r>
    </w:p>
    <w:p>
      <w:pPr>
        <w:pStyle w:val="Heading1"/>
        <w:spacing w:after="150" w:before="300"/>
      </w:pPr>
      <w:r>
        <w:t xml:space="preserve">9. What to Realistically Expect From Your Own Reproduction</w:t>
      </w:r>
    </w:p>
    <w:p>
      <w:pPr>
        <w:spacing w:after="120"/>
      </w:pPr>
      <w:r>
        <w:t xml:space="preserve">Your own run (via the accompanying code) will almost certainly NOT match Table 5–Table 11 numbers exactly. This is expected and should be reported honestly, not hidden. Reasons, in order of impact:</w:t>
      </w:r>
    </w:p>
    <w:p>
      <w:pPr>
        <w:pStyle w:val="ListParagraph"/>
        <w:numPr>
          <w:ilvl w:val="0"/>
          <w:numId w:val="4"/>
        </w:numPr>
        <w:spacing w:after="60"/>
      </w:pPr>
      <w:r>
        <w:t xml:space="preserve">Unpublished exact split boundaries — you will derive your own train/test/holdout row indices from the split LOGIC (Section 5.5); the paper's own row counts are not given.</w:t>
      </w:r>
    </w:p>
    <w:p>
      <w:pPr>
        <w:pStyle w:val="ListParagraph"/>
        <w:numPr>
          <w:ilvl w:val="0"/>
          <w:numId w:val="4"/>
        </w:numPr>
        <w:spacing w:after="60"/>
      </w:pPr>
      <w:r>
        <w:t xml:space="preserve">Unpublished α/β weight values (Eq. 14–16) beyond an ordering constraint — you must calibrate these on your own pre-holdout split, and different calibration will shift the operating point.</w:t>
      </w:r>
    </w:p>
    <w:p>
      <w:pPr>
        <w:pStyle w:val="ListParagraph"/>
        <w:numPr>
          <w:ilvl w:val="0"/>
          <w:numId w:val="4"/>
        </w:numPr>
        <w:spacing w:after="60"/>
      </w:pPr>
      <w:r>
        <w:t xml:space="preserve">GDRNet's exact training target is defined in a separate prior paper (ref [12], IEEE Access 2025, DOI 10.1109/ACCESS.2025.11259050) not reproduced here — the accompanying code uses a documented proxy target you should replace once you've read that paper.</w:t>
      </w:r>
    </w:p>
    <w:p>
      <w:pPr>
        <w:pStyle w:val="ListParagraph"/>
        <w:numPr>
          <w:ilvl w:val="0"/>
          <w:numId w:val="4"/>
        </w:numPr>
        <w:spacing w:after="60"/>
      </w:pPr>
      <w:r>
        <w:t xml:space="preserve">Random seeds, exact Transformer weight initialization, and training-run stochasticity (the paper fixes seeds, but doesn't publish their values) — expect run-to-run variance even with identical code.</w:t>
      </w:r>
    </w:p>
    <w:p>
      <w:pPr>
        <w:pStyle w:val="ListParagraph"/>
        <w:numPr>
          <w:ilvl w:val="0"/>
          <w:numId w:val="4"/>
        </w:numPr>
        <w:spacing w:after="60"/>
      </w:pPr>
      <w:r>
        <w:t xml:space="preserve">The Expert Agent's LLM outputs (gpt-4o-mini) are non-deterministic across API calls/versions, and Table 9–10's case studies are illustrative, not target metrics to hit.</w:t>
      </w:r>
    </w:p>
    <w:p>
      <w:pPr>
        <w:spacing w:after="120"/>
      </w:pPr>
      <w:r>
        <w:t xml:space="preserve">A credible, honest reproduction target is: (a) confirm your Transformer baseline is “strong” in the same qualitative sense (comparable precision/recall in the same ballpark for this task); (b) confirm the DIRECTION and RELATIVE SIZE of ASPIRE's gain over your own baseline (precision up, recall up, F1 up by roughly a similar order of magnitude — low single-digit percentage points); (c) confirm the ablation STORY replicates qualitatively — margin gate drives precision, window-agent context drives recall, sensor agents matter far less for early-warning than for fault detection.</w:t>
      </w:r>
    </w:p>
    <w:p>
      <w:pPr>
        <w:pStyle w:val="Heading1"/>
        <w:spacing w:after="150" w:before="300"/>
      </w:pPr>
      <w:r>
        <w:t xml:space="preserve">10. Tools &amp;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50"/>
      </w:tblGrid>
      <w:tr>
        <w:trPr>
          <w:tblHeader/>
        </w:trPr>
        <w:tc>
          <w:tcPr>
            <w:tcW w:type="dxa" w:w="2000"/>
            <w:shd w:fill="EAF2FB" w:val="clear"/>
            <w:tcMar>
              <w:top w:type="dxa" w:w="60"/>
              <w:left w:type="dxa" w:w="80"/>
              <w:bottom w:type="dxa" w:w="60"/>
              <w:right w:type="dxa" w:w="80"/>
            </w:tcMar>
          </w:tcPr>
          <w:p>
            <w:r>
              <w:rPr>
                <w:b/>
                <w:bCs/>
                <w:sz w:val="20"/>
                <w:szCs w:val="20"/>
              </w:rPr>
              <w:t xml:space="preserve">Component</w:t>
            </w:r>
          </w:p>
        </w:tc>
        <w:tc>
          <w:tcPr>
            <w:tcW w:type="dxa" w:w="3400"/>
            <w:shd w:fill="EAF2FB" w:val="clear"/>
            <w:tcMar>
              <w:top w:type="dxa" w:w="60"/>
              <w:left w:type="dxa" w:w="80"/>
              <w:bottom w:type="dxa" w:w="60"/>
              <w:right w:type="dxa" w:w="80"/>
            </w:tcMar>
          </w:tcPr>
          <w:p>
            <w:r>
              <w:rPr>
                <w:b/>
                <w:bCs/>
                <w:sz w:val="20"/>
                <w:szCs w:val="20"/>
              </w:rPr>
              <w:t xml:space="preserve">Tool / Library</w:t>
            </w:r>
          </w:p>
        </w:tc>
        <w:tc>
          <w:tcPr>
            <w:tcW w:type="dxa" w:w="3950"/>
            <w:shd w:fill="EAF2FB" w:val="clear"/>
            <w:tcMar>
              <w:top w:type="dxa" w:w="60"/>
              <w:left w:type="dxa" w:w="80"/>
              <w:bottom w:type="dxa" w:w="60"/>
              <w:right w:type="dxa" w:w="80"/>
            </w:tcMar>
          </w:tcPr>
          <w:p>
            <w:r>
              <w:rPr>
                <w:b/>
                <w:bCs/>
                <w:sz w:val="20"/>
                <w:szCs w:val="20"/>
              </w:rPr>
              <w:t xml:space="preserve">Role</w:t>
            </w:r>
          </w:p>
        </w:tc>
      </w:tr>
      <w:tr>
        <w:tc>
          <w:tcPr>
            <w:tcW w:type="dxa" w:w="2000"/>
            <w:tcMar>
              <w:top w:type="dxa" w:w="60"/>
              <w:left w:type="dxa" w:w="80"/>
              <w:bottom w:type="dxa" w:w="60"/>
              <w:right w:type="dxa" w:w="80"/>
            </w:tcMar>
          </w:tcPr>
          <w:p>
            <w:r>
              <w:rPr>
                <w:b w:val="false"/>
                <w:bCs w:val="false"/>
                <w:sz w:val="20"/>
                <w:szCs w:val="20"/>
              </w:rPr>
              <w:t xml:space="preserve">Neural models</w:t>
            </w:r>
          </w:p>
        </w:tc>
        <w:tc>
          <w:tcPr>
            <w:tcW w:type="dxa" w:w="3400"/>
            <w:tcMar>
              <w:top w:type="dxa" w:w="60"/>
              <w:left w:type="dxa" w:w="80"/>
              <w:bottom w:type="dxa" w:w="60"/>
              <w:right w:type="dxa" w:w="80"/>
            </w:tcMar>
          </w:tcPr>
          <w:p>
            <w:r>
              <w:rPr>
                <w:b w:val="false"/>
                <w:bCs w:val="false"/>
                <w:sz w:val="20"/>
                <w:szCs w:val="20"/>
              </w:rPr>
              <w:t xml:space="preserve">TensorFlow / Keras</w:t>
            </w:r>
          </w:p>
        </w:tc>
        <w:tc>
          <w:tcPr>
            <w:tcW w:type="dxa" w:w="3950"/>
            <w:tcMar>
              <w:top w:type="dxa" w:w="60"/>
              <w:left w:type="dxa" w:w="80"/>
              <w:bottom w:type="dxa" w:w="60"/>
              <w:right w:type="dxa" w:w="80"/>
            </w:tcMar>
          </w:tcPr>
          <w:p>
            <w:r>
              <w:rPr>
                <w:b w:val="false"/>
                <w:bCs w:val="false"/>
                <w:sz w:val="20"/>
                <w:szCs w:val="20"/>
              </w:rPr>
              <w:t xml:space="preserve">LSTM autoencoders, MLP (GDRNet), LSTM next-step predictor, Transformer classifier</w:t>
            </w:r>
          </w:p>
        </w:tc>
      </w:tr>
      <w:tr>
        <w:tc>
          <w:tcPr>
            <w:tcW w:type="dxa" w:w="2000"/>
            <w:tcMar>
              <w:top w:type="dxa" w:w="60"/>
              <w:left w:type="dxa" w:w="80"/>
              <w:bottom w:type="dxa" w:w="60"/>
              <w:right w:type="dxa" w:w="80"/>
            </w:tcMar>
          </w:tcPr>
          <w:p>
            <w:r>
              <w:rPr>
                <w:b w:val="false"/>
                <w:bCs w:val="false"/>
                <w:sz w:val="20"/>
                <w:szCs w:val="20"/>
              </w:rPr>
              <w:t xml:space="preserve">Numerical / stats</w:t>
            </w:r>
          </w:p>
        </w:tc>
        <w:tc>
          <w:tcPr>
            <w:tcW w:type="dxa" w:w="3400"/>
            <w:tcMar>
              <w:top w:type="dxa" w:w="60"/>
              <w:left w:type="dxa" w:w="80"/>
              <w:bottom w:type="dxa" w:w="60"/>
              <w:right w:type="dxa" w:w="80"/>
            </w:tcMar>
          </w:tcPr>
          <w:p>
            <w:r>
              <w:rPr>
                <w:b w:val="false"/>
                <w:bCs w:val="false"/>
                <w:sz w:val="20"/>
                <w:szCs w:val="20"/>
              </w:rPr>
              <w:t xml:space="preserve">NumPy, SciPy, scikit-learn</w:t>
            </w:r>
          </w:p>
        </w:tc>
        <w:tc>
          <w:tcPr>
            <w:tcW w:type="dxa" w:w="3950"/>
            <w:tcMar>
              <w:top w:type="dxa" w:w="60"/>
              <w:left w:type="dxa" w:w="80"/>
              <w:bottom w:type="dxa" w:w="60"/>
              <w:right w:type="dxa" w:w="80"/>
            </w:tcMar>
          </w:tcPr>
          <w:p>
            <w:r>
              <w:rPr>
                <w:b w:val="false"/>
                <w:bCs w:val="false"/>
                <w:sz w:val="20"/>
                <w:szCs w:val="20"/>
              </w:rPr>
              <w:t xml:space="preserve">JS-divergence, KS-test fallback, class weighting, general array ops</w:t>
            </w:r>
          </w:p>
        </w:tc>
      </w:tr>
      <w:tr>
        <w:tc>
          <w:tcPr>
            <w:tcW w:type="dxa" w:w="2000"/>
            <w:tcMar>
              <w:top w:type="dxa" w:w="60"/>
              <w:left w:type="dxa" w:w="80"/>
              <w:bottom w:type="dxa" w:w="60"/>
              <w:right w:type="dxa" w:w="80"/>
            </w:tcMar>
          </w:tcPr>
          <w:p>
            <w:r>
              <w:rPr>
                <w:b w:val="false"/>
                <w:bCs w:val="false"/>
                <w:sz w:val="20"/>
                <w:szCs w:val="20"/>
              </w:rPr>
              <w:t xml:space="preserve">Data handling</w:t>
            </w:r>
          </w:p>
        </w:tc>
        <w:tc>
          <w:tcPr>
            <w:tcW w:type="dxa" w:w="3400"/>
            <w:tcMar>
              <w:top w:type="dxa" w:w="60"/>
              <w:left w:type="dxa" w:w="80"/>
              <w:bottom w:type="dxa" w:w="60"/>
              <w:right w:type="dxa" w:w="80"/>
            </w:tcMar>
          </w:tcPr>
          <w:p>
            <w:r>
              <w:rPr>
                <w:b w:val="false"/>
                <w:bCs w:val="false"/>
                <w:sz w:val="20"/>
                <w:szCs w:val="20"/>
              </w:rPr>
              <w:t xml:space="preserve">pandas</w:t>
            </w:r>
          </w:p>
        </w:tc>
        <w:tc>
          <w:tcPr>
            <w:tcW w:type="dxa" w:w="3950"/>
            <w:tcMar>
              <w:top w:type="dxa" w:w="60"/>
              <w:left w:type="dxa" w:w="80"/>
              <w:bottom w:type="dxa" w:w="60"/>
              <w:right w:type="dxa" w:w="80"/>
            </w:tcMar>
          </w:tcPr>
          <w:p>
            <w:r>
              <w:rPr>
                <w:b w:val="false"/>
                <w:bCs w:val="false"/>
                <w:sz w:val="20"/>
                <w:szCs w:val="20"/>
              </w:rPr>
              <w:t xml:space="preserve">CSV loading, resampling, time-based indexing</w:t>
            </w:r>
          </w:p>
        </w:tc>
      </w:tr>
      <w:tr>
        <w:tc>
          <w:tcPr>
            <w:tcW w:type="dxa" w:w="2000"/>
            <w:tcMar>
              <w:top w:type="dxa" w:w="60"/>
              <w:left w:type="dxa" w:w="80"/>
              <w:bottom w:type="dxa" w:w="60"/>
              <w:right w:type="dxa" w:w="80"/>
            </w:tcMar>
          </w:tcPr>
          <w:p>
            <w:r>
              <w:rPr>
                <w:b w:val="false"/>
                <w:bCs w:val="false"/>
                <w:sz w:val="20"/>
                <w:szCs w:val="20"/>
              </w:rPr>
              <w:t xml:space="preserve">Config</w:t>
            </w:r>
          </w:p>
        </w:tc>
        <w:tc>
          <w:tcPr>
            <w:tcW w:type="dxa" w:w="3400"/>
            <w:tcMar>
              <w:top w:type="dxa" w:w="60"/>
              <w:left w:type="dxa" w:w="80"/>
              <w:bottom w:type="dxa" w:w="60"/>
              <w:right w:type="dxa" w:w="80"/>
            </w:tcMar>
          </w:tcPr>
          <w:p>
            <w:r>
              <w:rPr>
                <w:b w:val="false"/>
                <w:bCs w:val="false"/>
                <w:sz w:val="20"/>
                <w:szCs w:val="20"/>
              </w:rPr>
              <w:t xml:space="preserve">PyYAML</w:t>
            </w:r>
          </w:p>
        </w:tc>
        <w:tc>
          <w:tcPr>
            <w:tcW w:type="dxa" w:w="3950"/>
            <w:tcMar>
              <w:top w:type="dxa" w:w="60"/>
              <w:left w:type="dxa" w:w="80"/>
              <w:bottom w:type="dxa" w:w="60"/>
              <w:right w:type="dxa" w:w="80"/>
            </w:tcMar>
          </w:tcPr>
          <w:p>
            <w:r>
              <w:rPr>
                <w:b w:val="false"/>
                <w:bCs w:val="false"/>
                <w:sz w:val="20"/>
                <w:szCs w:val="20"/>
              </w:rPr>
              <w:t xml:space="preserve">Table 3 policy parameters as a single source of truth</w:t>
            </w:r>
          </w:p>
        </w:tc>
      </w:tr>
      <w:tr>
        <w:tc>
          <w:tcPr>
            <w:tcW w:type="dxa" w:w="2000"/>
            <w:tcMar>
              <w:top w:type="dxa" w:w="60"/>
              <w:left w:type="dxa" w:w="80"/>
              <w:bottom w:type="dxa" w:w="60"/>
              <w:right w:type="dxa" w:w="80"/>
            </w:tcMar>
          </w:tcPr>
          <w:p>
            <w:r>
              <w:rPr>
                <w:b w:val="false"/>
                <w:bCs w:val="false"/>
                <w:sz w:val="20"/>
                <w:szCs w:val="20"/>
              </w:rPr>
              <w:t xml:space="preserve">Event logging</w:t>
            </w:r>
          </w:p>
        </w:tc>
        <w:tc>
          <w:tcPr>
            <w:tcW w:type="dxa" w:w="3400"/>
            <w:tcMar>
              <w:top w:type="dxa" w:w="60"/>
              <w:left w:type="dxa" w:w="80"/>
              <w:bottom w:type="dxa" w:w="60"/>
              <w:right w:type="dxa" w:w="80"/>
            </w:tcMar>
          </w:tcPr>
          <w:p>
            <w:r>
              <w:rPr>
                <w:b w:val="false"/>
                <w:bCs w:val="false"/>
                <w:sz w:val="20"/>
                <w:szCs w:val="20"/>
              </w:rPr>
              <w:t xml:space="preserve">sqlite3 (built-in)</w:t>
            </w:r>
          </w:p>
        </w:tc>
        <w:tc>
          <w:tcPr>
            <w:tcW w:type="dxa" w:w="3950"/>
            <w:tcMar>
              <w:top w:type="dxa" w:w="60"/>
              <w:left w:type="dxa" w:w="80"/>
              <w:bottom w:type="dxa" w:w="60"/>
              <w:right w:type="dxa" w:w="80"/>
            </w:tcMar>
          </w:tcPr>
          <w:p>
            <w:r>
              <w:rPr>
                <w:b w:val="false"/>
                <w:bCs w:val="false"/>
                <w:sz w:val="20"/>
                <w:szCs w:val="20"/>
              </w:rPr>
              <w:t xml:space="preserve">Append-only EventStore for decisions, expert outputs (auditability)</w:t>
            </w:r>
          </w:p>
        </w:tc>
      </w:tr>
      <w:tr>
        <w:tc>
          <w:tcPr>
            <w:tcW w:type="dxa" w:w="2000"/>
            <w:tcMar>
              <w:top w:type="dxa" w:w="60"/>
              <w:left w:type="dxa" w:w="80"/>
              <w:bottom w:type="dxa" w:w="60"/>
              <w:right w:type="dxa" w:w="80"/>
            </w:tcMar>
          </w:tcPr>
          <w:p>
            <w:r>
              <w:rPr>
                <w:b w:val="false"/>
                <w:bCs w:val="false"/>
                <w:sz w:val="20"/>
                <w:szCs w:val="20"/>
              </w:rPr>
              <w:t xml:space="preserve">Expert Agent LLM</w:t>
            </w:r>
          </w:p>
        </w:tc>
        <w:tc>
          <w:tcPr>
            <w:tcW w:type="dxa" w:w="3400"/>
            <w:tcMar>
              <w:top w:type="dxa" w:w="60"/>
              <w:left w:type="dxa" w:w="80"/>
              <w:bottom w:type="dxa" w:w="60"/>
              <w:right w:type="dxa" w:w="80"/>
            </w:tcMar>
          </w:tcPr>
          <w:p>
            <w:r>
              <w:rPr>
                <w:b w:val="false"/>
                <w:bCs w:val="false"/>
                <w:sz w:val="20"/>
                <w:szCs w:val="20"/>
              </w:rPr>
              <w:t xml:space="preserve">OpenAI Python SDK, gpt-4o-mini, Responses API</w:t>
            </w:r>
          </w:p>
        </w:tc>
        <w:tc>
          <w:tcPr>
            <w:tcW w:type="dxa" w:w="3950"/>
            <w:tcMar>
              <w:top w:type="dxa" w:w="60"/>
              <w:left w:type="dxa" w:w="80"/>
              <w:bottom w:type="dxa" w:w="60"/>
              <w:right w:type="dxa" w:w="80"/>
            </w:tcMar>
          </w:tcPr>
          <w:p>
            <w:r>
              <w:rPr>
                <w:b w:val="false"/>
                <w:bCs w:val="false"/>
                <w:sz w:val="20"/>
                <w:szCs w:val="20"/>
              </w:rPr>
              <w:t xml:space="preserve">Structured JSON explanations, non-intervening</w:t>
            </w:r>
          </w:p>
        </w:tc>
      </w:tr>
      <w:tr>
        <w:tc>
          <w:tcPr>
            <w:tcW w:type="dxa" w:w="2000"/>
            <w:tcMar>
              <w:top w:type="dxa" w:w="60"/>
              <w:left w:type="dxa" w:w="80"/>
              <w:bottom w:type="dxa" w:w="60"/>
              <w:right w:type="dxa" w:w="80"/>
            </w:tcMar>
          </w:tcPr>
          <w:p>
            <w:r>
              <w:rPr>
                <w:b w:val="false"/>
                <w:bCs w:val="false"/>
                <w:sz w:val="20"/>
                <w:szCs w:val="20"/>
              </w:rPr>
              <w:t xml:space="preserve">Training compute</w:t>
            </w:r>
          </w:p>
        </w:tc>
        <w:tc>
          <w:tcPr>
            <w:tcW w:type="dxa" w:w="3400"/>
            <w:tcMar>
              <w:top w:type="dxa" w:w="60"/>
              <w:left w:type="dxa" w:w="80"/>
              <w:bottom w:type="dxa" w:w="60"/>
              <w:right w:type="dxa" w:w="80"/>
            </w:tcMar>
          </w:tcPr>
          <w:p>
            <w:r>
              <w:rPr>
                <w:b w:val="false"/>
                <w:bCs w:val="false"/>
                <w:sz w:val="20"/>
                <w:szCs w:val="20"/>
              </w:rPr>
              <w:t xml:space="preserve">Google Colab, NVIDIA L4 GPU (paper); any CUDA-capable GPU works</w:t>
            </w:r>
          </w:p>
        </w:tc>
        <w:tc>
          <w:tcPr>
            <w:tcW w:type="dxa" w:w="3950"/>
            <w:tcMar>
              <w:top w:type="dxa" w:w="60"/>
              <w:left w:type="dxa" w:w="80"/>
              <w:bottom w:type="dxa" w:w="60"/>
              <w:right w:type="dxa" w:w="80"/>
            </w:tcMar>
          </w:tcPr>
          <w:p>
            <w:r>
              <w:rPr>
                <w:b w:val="false"/>
                <w:bCs w:val="false"/>
                <w:sz w:val="20"/>
                <w:szCs w:val="20"/>
              </w:rPr>
              <w:t xml:space="preserve">GPU-accelerated training/inference</w:t>
            </w:r>
          </w:p>
        </w:tc>
      </w:tr>
      <w:tr>
        <w:tc>
          <w:tcPr>
            <w:tcW w:type="dxa" w:w="2000"/>
            <w:tcMar>
              <w:top w:type="dxa" w:w="60"/>
              <w:left w:type="dxa" w:w="80"/>
              <w:bottom w:type="dxa" w:w="60"/>
              <w:right w:type="dxa" w:w="80"/>
            </w:tcMar>
          </w:tcPr>
          <w:p>
            <w:r>
              <w:rPr>
                <w:b w:val="false"/>
                <w:bCs w:val="false"/>
                <w:sz w:val="20"/>
                <w:szCs w:val="20"/>
              </w:rPr>
              <w:t xml:space="preserve">Visualization</w:t>
            </w:r>
          </w:p>
        </w:tc>
        <w:tc>
          <w:tcPr>
            <w:tcW w:type="dxa" w:w="3400"/>
            <w:tcMar>
              <w:top w:type="dxa" w:w="60"/>
              <w:left w:type="dxa" w:w="80"/>
              <w:bottom w:type="dxa" w:w="60"/>
              <w:right w:type="dxa" w:w="80"/>
            </w:tcMar>
          </w:tcPr>
          <w:p>
            <w:r>
              <w:rPr>
                <w:b w:val="false"/>
                <w:bCs w:val="false"/>
                <w:sz w:val="20"/>
                <w:szCs w:val="20"/>
              </w:rPr>
              <w:t xml:space="preserve">matplotlib</w:t>
            </w:r>
          </w:p>
        </w:tc>
        <w:tc>
          <w:tcPr>
            <w:tcW w:type="dxa" w:w="3950"/>
            <w:tcMar>
              <w:top w:type="dxa" w:w="60"/>
              <w:left w:type="dxa" w:w="80"/>
              <w:bottom w:type="dxa" w:w="60"/>
              <w:right w:type="dxa" w:w="80"/>
            </w:tcMar>
          </w:tcPr>
          <w:p>
            <w:r>
              <w:rPr>
                <w:b w:val="false"/>
                <w:bCs w:val="false"/>
                <w:sz w:val="20"/>
                <w:szCs w:val="20"/>
              </w:rPr>
              <w:t xml:space="preserve">PR-sweep curves, ablation bar charts, cost-effectiveness plots</w:t>
            </w:r>
          </w:p>
        </w:tc>
      </w:tr>
    </w:tbl>
    <w:p>
      <w:pPr>
        <w:spacing w:after="140"/>
      </w:pPr>
      <w:r>
        <w:rPr>
          <w:i/>
          <w:iCs/>
          <w:color w:val="555555"/>
          <w:sz w:val="20"/>
          <w:szCs w:val="20"/>
        </w:rPr>
        <w:t xml:space="preserve">The paper implements its six agents as plain Python classes coordinated by direct function calls — it does NOT use an agent-orchestration framework such as LangGraph or CrewAI. If you want an orchestration layer for engineering convenience (state machine visualization, retries, tracing) you can wrap the same logic in one, but that would be an extension beyond what's described, not a reproduction of it.</w:t>
      </w:r>
    </w:p>
    <w:p>
      <w:pPr>
        <w:pStyle w:val="Heading1"/>
        <w:spacing w:after="150" w:before="300"/>
      </w:pPr>
      <w:r>
        <w:t xml:space="preserve">11. Open-Source &amp; Reference Integration Points</w:t>
      </w:r>
    </w:p>
    <w:p>
      <w:pPr>
        <w:spacing w:after="120"/>
      </w:pPr>
      <w:r>
        <w:t xml:space="preserve">No official ASPIRE code repository was published alongside the paper (checked as of this writing). The following are general-purpose open-source references for the individual techniques the paper describes — use them as implementation aids, not as “the” ASPIRE repo:</w:t>
      </w:r>
    </w:p>
    <w:p>
      <w:pPr>
        <w:pStyle w:val="ListParagraph"/>
        <w:numPr>
          <w:ilvl w:val="0"/>
          <w:numId w:val="1"/>
        </w:numPr>
        <w:spacing w:after="60"/>
      </w:pPr>
      <w:r>
        <w:t xml:space="preserve">MetroPT-3 dataset (UCI): https://archive.ics.uci.edu/dataset/791/metropt+3+dataset — DOI 10.24432/C5VW3R</w:t>
      </w:r>
    </w:p>
    <w:p>
      <w:pPr>
        <w:pStyle w:val="ListParagraph"/>
        <w:numPr>
          <w:ilvl w:val="0"/>
          <w:numId w:val="1"/>
        </w:numPr>
        <w:spacing w:after="60"/>
      </w:pPr>
      <w:r>
        <w:t xml:space="preserve">GDRNet (the authors' own prior work, reused inside the Adaptive Window Agent): S. Guha and A. Datta, IEEE Access, vol. 13, pp. 200382–200393, 2025, https://ieeexplore.ieee.org/document/11259050</w:t>
      </w:r>
    </w:p>
    <w:p>
      <w:pPr>
        <w:pStyle w:val="ListParagraph"/>
        <w:numPr>
          <w:ilvl w:val="0"/>
          <w:numId w:val="1"/>
        </w:numPr>
        <w:spacing w:after="60"/>
      </w:pPr>
      <w:r>
        <w:t xml:space="preserve">Hughes, Perinpanayagam &amp; Ball — cost-efficiency/cost-effectiveness framework this paper adapts: IEEE Access, vol. 13, pp. 151664–151670, 2025, DOI 10.1109/ACCESS.2025.3601385</w:t>
      </w:r>
    </w:p>
    <w:p>
      <w:pPr>
        <w:pStyle w:val="ListParagraph"/>
        <w:numPr>
          <w:ilvl w:val="0"/>
          <w:numId w:val="1"/>
        </w:numPr>
        <w:spacing w:after="60"/>
      </w:pPr>
      <w:r>
        <w:t xml:space="preserve">Keras LSTM-autoencoder anomaly-detection example (pattern for Sensor Agents): https://keras.io/examples/timeseries/timeseries_anomaly_detection/</w:t>
      </w:r>
    </w:p>
    <w:p>
      <w:pPr>
        <w:pStyle w:val="ListParagraph"/>
        <w:numPr>
          <w:ilvl w:val="0"/>
          <w:numId w:val="1"/>
        </w:numPr>
        <w:spacing w:after="60"/>
      </w:pPr>
      <w:r>
        <w:t xml:space="preserve">Keras Transformer time-series classification example (pattern for Prediction Agent): https://keras.io/examples/timeseries/timeseries_transformer_classification/</w:t>
      </w:r>
    </w:p>
    <w:p>
      <w:pPr>
        <w:pStyle w:val="ListParagraph"/>
        <w:numPr>
          <w:ilvl w:val="0"/>
          <w:numId w:val="1"/>
        </w:numPr>
        <w:spacing w:after="60"/>
      </w:pPr>
      <w:r>
        <w:t xml:space="preserve">scipy.spatial.distance.jensenshannon — used for FDI/WDI and sensor-drift JSD: https://docs.scipy.org/doc/scipy/reference/generated/scipy.spatial.distance.jensenshannon.html</w:t>
      </w:r>
    </w:p>
    <w:p>
      <w:pPr>
        <w:pStyle w:val="ListParagraph"/>
        <w:numPr>
          <w:ilvl w:val="0"/>
          <w:numId w:val="1"/>
        </w:numPr>
        <w:spacing w:after="60"/>
      </w:pPr>
      <w:r>
        <w:t xml:space="preserve">scipy.stats.ks_2samp — KS-test drift-detection fallback</w:t>
      </w:r>
    </w:p>
    <w:p>
      <w:pPr>
        <w:pStyle w:val="ListParagraph"/>
        <w:numPr>
          <w:ilvl w:val="0"/>
          <w:numId w:val="1"/>
        </w:numPr>
        <w:spacing w:after="60"/>
      </w:pPr>
      <w:r>
        <w:t xml:space="preserve">OpenAI Python SDK (Expert Agent): https://github.com/openai/openai-python</w:t>
      </w:r>
    </w:p>
    <w:p>
      <w:pPr>
        <w:pStyle w:val="ListParagraph"/>
        <w:numPr>
          <w:ilvl w:val="0"/>
          <w:numId w:val="1"/>
        </w:numPr>
        <w:spacing w:after="60"/>
      </w:pPr>
      <w:r>
        <w:t xml:space="preserve">Prior MetroPT studies cited for cross-checking preprocessing (methodologically distinct tasks, not directly comparable per the paper itself): Barros et al. 2020 (rule-based APU monitoring); Davari et al. 2021 DSAA (autoencoder anomaly detection); Najjar et al. 2023 (Random Forest classification, 67:33 split).</w:t>
      </w:r>
    </w:p>
    <w:p>
      <w:pPr>
        <w:pStyle w:val="ListParagraph"/>
        <w:numPr>
          <w:ilvl w:val="0"/>
          <w:numId w:val="1"/>
        </w:numPr>
        <w:spacing w:after="60"/>
      </w:pPr>
      <w:r>
        <w:t xml:space="preserve">Optional agent-orchestration frameworks if you extend beyond the paper's plain-Python design: LangGraph (https://github.com/langchain-ai/langgraph), CrewAI (https://github.com/crewAIInc/crewAI).</w:t>
      </w:r>
    </w:p>
    <w:p>
      <w:pPr>
        <w:spacing w:after="120"/>
      </w:pPr>
      <w:r>
        <w:t xml:space="preserve"/>
      </w:r>
    </w:p>
    <w:p>
      <w:pPr>
        <w:spacing w:after="120"/>
      </w:pPr>
      <w:r>
        <w:rPr>
          <w:i/>
          <w:iCs/>
        </w:rPr>
        <w:t xml:space="preserve">this document and I (the AI assistant) do not have live web/database access in this conversation. GitHub URLs above were not freshness-checked against the live web at generation time — verify each link resolves before citing it, and prefer the DOIs (which are stable identifiers from the paper's own reference list) over any secondary GitHub mirror.</w:t>
      </w:r>
    </w:p>
    <w:p>
      <w:pPr>
        <w:pStyle w:val="Heading1"/>
        <w:spacing w:after="150" w:before="300"/>
      </w:pPr>
      <w:r>
        <w:t xml:space="preserve">12. Limitations (Paper's Own, Section VI)</w:t>
      </w:r>
    </w:p>
    <w:p>
      <w:pPr>
        <w:pStyle w:val="ListParagraph"/>
        <w:numPr>
          <w:ilvl w:val="0"/>
          <w:numId w:val="1"/>
        </w:numPr>
        <w:spacing w:after="60"/>
      </w:pPr>
      <w:r>
        <w:t xml:space="preserve">Single dataset (MetroPT-3), single fault type (air leak), across only 4 failure events — a dataset constraint, not a framework limitation, per the authors.</w:t>
      </w:r>
    </w:p>
    <w:p>
      <w:pPr>
        <w:pStyle w:val="ListParagraph"/>
        <w:numPr>
          <w:ilvl w:val="0"/>
          <w:numId w:val="1"/>
        </w:numPr>
        <w:spacing w:after="60"/>
      </w:pPr>
      <w:r>
        <w:t xml:space="preserve">No evaluation under simulated sensor noise or missingness (dropouts, calibration drift).</w:t>
      </w:r>
    </w:p>
    <w:p>
      <w:pPr>
        <w:pStyle w:val="ListParagraph"/>
        <w:numPr>
          <w:ilvl w:val="0"/>
          <w:numId w:val="1"/>
        </w:numPr>
        <w:spacing w:after="60"/>
      </w:pPr>
      <w:r>
        <w:t xml:space="preserve">No full latency/scalability characterisation across varying sensor counts, hardware, or sampling rates.</w:t>
      </w:r>
    </w:p>
    <w:p>
      <w:pPr>
        <w:pStyle w:val="ListParagraph"/>
        <w:numPr>
          <w:ilvl w:val="0"/>
          <w:numId w:val="1"/>
        </w:numPr>
        <w:spacing w:after="60"/>
      </w:pPr>
      <w:r>
        <w:t xml:space="preserve">No comparison against other decision-aware baselines (cost-sensitive classifiers, Bayesian risk-minimisation).</w:t>
      </w:r>
    </w:p>
    <w:p>
      <w:pPr>
        <w:pStyle w:val="ListParagraph"/>
        <w:numPr>
          <w:ilvl w:val="0"/>
          <w:numId w:val="1"/>
        </w:numPr>
        <w:spacing w:after="60"/>
      </w:pPr>
      <w:r>
        <w:t xml:space="preserve">Future work flagged by the authors: CMAPSS (turbofan) and PRONOSTIA (bearing) datasets, human-in-the-loop policy tuning, multi-horizon decision strategies.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7173c44e98798d9f66ff2001e4a81227445070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2026-08-28T05:58:37.699Z</dcterms:created>
  <dcterms:modified xsi:type="dcterms:W3CDTF">2026-08-28T05:58:37.699Z</dcterms:modified>
</cp:coreProperties>
</file>

<file path=docProps/custom.xml><?xml version="1.0" encoding="utf-8"?>
<Properties xmlns="http://schemas.openxmlformats.org/officeDocument/2006/custom-properties" xmlns:vt="http://schemas.openxmlformats.org/officeDocument/2006/docPropsVTypes"/>
</file>