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- 103,359 simulated events (v5): 306 impossible vitals dropped; four identity checks catch 78/78 planted cases; a steward review queue decides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guardrail tests, tests, pipeline integration, docs in sync; bundle validate/deploy</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Unit row filter tested with real workspace groups (a nurse sees only their unit)</w:t>
            </w:r>
          </w:p>
        </w:tc>
        <w:tc>
          <w:tcPr>
            <w:tcW w:type="dxa" w:w="3515"/>
          </w:tcPr>
          <w:p>
            <w:pPr>
              <w:spacing w:after="0"/>
            </w:pPr>
            <w:r>
              <w:rPr>
                <w:b w:val="0"/>
                <w:sz w:val="17"/>
              </w:rPr>
              <w:t>Groups in the workspace</w:t>
            </w:r>
          </w:p>
        </w:tc>
        <w:tc>
          <w:tcPr>
            <w:tcW w:type="dxa" w:w="4252"/>
          </w:tcPr>
          <w:p>
            <w:pPr>
              <w:spacing w:after="0"/>
            </w:pPr>
            <w:r>
              <w:rPr>
                <w:b w:val="0"/>
                <w:sz w:val="17"/>
              </w:rPr>
              <w:t>Row-level access shown, not just column masks</w:t>
            </w:r>
          </w:p>
        </w:tc>
      </w:tr>
      <w:tr>
        <w:tc>
          <w:tcPr>
            <w:tcW w:type="dxa" w:w="567"/>
          </w:tcPr>
          <w:p>
            <w:pPr>
              <w:spacing w:after="0"/>
            </w:pPr>
            <w:r>
              <w:rPr>
                <w:b w:val="0"/>
                <w:sz w:val="17"/>
              </w:rPr>
              <w:t>3</w:t>
            </w:r>
          </w:p>
        </w:tc>
        <w:tc>
          <w:tcPr>
            <w:tcW w:type="dxa" w:w="6803"/>
          </w:tcPr>
          <w:p>
            <w:pPr>
              <w:spacing w:after="0"/>
            </w:pPr>
            <w:r>
              <w:rPr>
                <w:b w:val="0"/>
                <w:sz w:val="17"/>
              </w:rPr>
              <w:t>Split shared patient_ids at source (re-assign the second person's admissions) after a steward confirms</w:t>
            </w:r>
          </w:p>
        </w:tc>
        <w:tc>
          <w:tcPr>
            <w:tcW w:type="dxa" w:w="3515"/>
          </w:tcPr>
          <w:p>
            <w:pPr>
              <w:spacing w:after="0"/>
            </w:pPr>
            <w:r>
              <w:rPr>
                <w:b w:val="0"/>
                <w:sz w:val="17"/>
              </w:rPr>
              <w:t>Source-system access</w:t>
            </w:r>
          </w:p>
        </w:tc>
        <w:tc>
          <w:tcPr>
            <w:tcW w:type="dxa" w:w="4252"/>
          </w:tcPr>
          <w:p>
            <w:pPr>
              <w:spacing w:after="0"/>
            </w:pPr>
            <w:r>
              <w:rPr>
                <w:b w:val="0"/>
                <w:sz w:val="17"/>
              </w:rPr>
              <w:t>Shared ids resolved, not just flagged</w:t>
            </w:r>
          </w:p>
        </w:tc>
      </w:tr>
      <w:tr>
        <w:tc>
          <w:tcPr>
            <w:tcW w:type="dxa" w:w="567"/>
          </w:tcPr>
          <w:p>
            <w:pPr>
              <w:spacing w:after="0"/>
            </w:pPr>
            <w:r>
              <w:rPr>
                <w:b w:val="0"/>
                <w:sz w:val="17"/>
              </w:rPr>
              <w:t>4</w:t>
            </w:r>
          </w:p>
        </w:tc>
        <w:tc>
          <w:tcPr>
            <w:tcW w:type="dxa" w:w="6803"/>
          </w:tcPr>
          <w:p>
            <w:pPr>
              <w:spacing w:after="0"/>
            </w:pPr>
            <w:r>
              <w:rPr>
                <w:b w:val="0"/>
                <w:sz w:val="17"/>
              </w:rPr>
              <w:t>Agent Bricks runbook agent over the problem catalog (104 problems)</w:t>
            </w:r>
          </w:p>
        </w:tc>
        <w:tc>
          <w:tcPr>
            <w:tcW w:type="dxa" w:w="3515"/>
          </w:tcPr>
          <w:p>
            <w:pPr>
              <w:spacing w:after="0"/>
            </w:pPr>
            <w:r>
              <w:rPr>
                <w:b w:val="0"/>
                <w:sz w:val="17"/>
              </w:rPr>
              <w:t>Agent Bricks on the 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5</w:t>
            </w:r>
          </w:p>
        </w:tc>
        <w:tc>
          <w:tcPr>
            <w:tcW w:type="dxa" w:w="6803"/>
          </w:tcPr>
          <w:p>
            <w:pPr>
              <w:spacing w:after="0"/>
            </w:pPr>
            <w:r>
              <w:rPr>
                <w:b w:val="0"/>
                <w:sz w:val="17"/>
              </w:rPr>
              <w:t>Make the best-scoring hosted model the default planner; more turns or examples where models fall short</w:t>
            </w:r>
          </w:p>
        </w:tc>
        <w:tc>
          <w:tcPr>
            <w:tcW w:type="dxa" w:w="3515"/>
          </w:tcPr>
          <w:p>
            <w:pPr>
              <w:spacing w:after="0"/>
            </w:pPr>
            <w:r>
              <w:rPr>
                <w:b w:val="0"/>
                <w:sz w:val="17"/>
              </w:rPr>
              <w:t>-</w:t>
            </w:r>
          </w:p>
        </w:tc>
        <w:tc>
          <w:tcPr>
            <w:tcW w:type="dxa" w:w="4252"/>
          </w:tcPr>
          <w:p>
            <w:pPr>
              <w:spacing w:after="0"/>
            </w:pPr>
            <w:r>
              <w:rPr>
                <w:b w:val="0"/>
                <w:sz w:val="17"/>
              </w:rPr>
              <w:t>Free-form requests handled without a paid key</w:t>
            </w:r>
          </w:p>
        </w:tc>
      </w:tr>
      <w:tr>
        <w:tc>
          <w:tcPr>
            <w:tcW w:type="dxa" w:w="567"/>
          </w:tcPr>
          <w:p>
            <w:pPr>
              <w:spacing w:after="0"/>
            </w:pPr>
            <w:r>
              <w:rPr>
                <w:b w:val="0"/>
                <w:sz w:val="17"/>
              </w:rPr>
              <w:t>6</w:t>
            </w:r>
          </w:p>
        </w:tc>
        <w:tc>
          <w:tcPr>
            <w:tcW w:type="dxa" w:w="6803"/>
          </w:tcPr>
          <w:p>
            <w:pPr>
              <w:spacing w:after="0"/>
            </w:pPr>
            <w:r>
              <w:rPr>
                <w:b w:val="0"/>
                <w:sz w:val="17"/>
              </w:rPr>
              <w:t>Turn on the GitHub -&gt; Databricks stages (validate, deploy on merge, integration run)</w:t>
            </w:r>
          </w:p>
        </w:tc>
        <w:tc>
          <w:tcPr>
            <w:tcW w:type="dxa" w:w="3515"/>
          </w:tcPr>
          <w:p>
            <w:pPr>
              <w:spacing w:after="0"/>
            </w:pPr>
            <w:r>
              <w:rPr>
                <w:b w:val="0"/>
                <w:sz w:val="17"/>
              </w:rPr>
              <w:t>You: DATABRICKS_HOST / DATABRICKS_TOKEN repo secrets</w:t>
            </w:r>
          </w:p>
        </w:tc>
        <w:tc>
          <w:tcPr>
            <w:tcW w:type="dxa" w:w="4252"/>
          </w:tcPr>
          <w:p>
            <w:pPr>
              <w:spacing w:after="0"/>
            </w:pPr>
            <w:r>
              <w:rPr>
                <w:b w:val="0"/>
                <w:sz w:val="17"/>
              </w:rPr>
              <w:t>Every merge checked against the real workspace</w:t>
            </w:r>
          </w:p>
        </w:tc>
      </w:tr>
      <w:tr>
        <w:tc>
          <w:tcPr>
            <w:tcW w:type="dxa" w:w="567"/>
          </w:tcPr>
          <w:p>
            <w:pPr>
              <w:spacing w:after="0"/>
            </w:pPr>
            <w:r>
              <w:rPr>
                <w:b w:val="0"/>
                <w:sz w:val="17"/>
              </w:rPr>
              <w:t>7</w:t>
            </w:r>
          </w:p>
        </w:tc>
        <w:tc>
          <w:tcPr>
            <w:tcW w:type="dxa" w:w="6803"/>
          </w:tcPr>
          <w:p>
            <w:pPr>
              <w:spacing w:after="0"/>
            </w:pPr>
            <w:r>
              <w:rPr>
                <w:b w:val="0"/>
                <w:sz w:val="17"/>
              </w:rPr>
              <w:t>Cancel the old GCP trial subscription (that workspace is locked)</w:t>
            </w:r>
          </w:p>
        </w:tc>
        <w:tc>
          <w:tcPr>
            <w:tcW w:type="dxa" w:w="3515"/>
          </w:tcPr>
          <w:p>
            <w:pPr>
              <w:spacing w:after="0"/>
            </w:pPr>
            <w:r>
              <w:rPr>
                <w:b w:val="0"/>
                <w:sz w:val="17"/>
              </w:rPr>
              <w:t>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