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Feed steward "same person" decisions into a master-patient-index merge (Gold patient key)</w:t>
            </w:r>
          </w:p>
        </w:tc>
        <w:tc>
          <w:tcPr>
            <w:tcW w:type="dxa" w:w="3515"/>
          </w:tcPr>
          <w:p>
            <w:pPr>
              <w:spacing w:after="0"/>
            </w:pPr>
            <w:r>
              <w:rPr>
                <w:b w:val="0"/>
                <w:sz w:val="17"/>
              </w:rPr>
              <w:t>-</w:t>
            </w:r>
          </w:p>
        </w:tc>
        <w:tc>
          <w:tcPr>
            <w:tcW w:type="dxa" w:w="4252"/>
          </w:tcPr>
          <w:p>
            <w:pPr>
              <w:spacing w:after="0"/>
            </w:pPr>
            <w:r>
              <w:rPr>
                <w:b w:val="0"/>
                <w:sz w:val="17"/>
              </w:rPr>
              <w:t>Counts per person, not per id</w:t>
            </w:r>
          </w:p>
        </w:tc>
      </w:tr>
      <w:tr>
        <w:tc>
          <w:tcPr>
            <w:tcW w:type="dxa" w:w="567"/>
          </w:tcPr>
          <w:p>
            <w:pPr>
              <w:spacing w:after="0"/>
            </w:pPr>
            <w:r>
              <w:rPr>
                <w:b w:val="0"/>
                <w:sz w:val="17"/>
              </w:rPr>
              <w:t>4</w:t>
            </w:r>
          </w:p>
        </w:tc>
        <w:tc>
          <w:tcPr>
            <w:tcW w:type="dxa" w:w="6803"/>
          </w:tcPr>
          <w:p>
            <w:pPr>
              <w:spacing w:after="0"/>
            </w:pPr>
            <w:r>
              <w:rPr>
                <w:b w:val="0"/>
                <w:sz w:val="17"/>
              </w:rPr>
              <w:t>Workspace objects (catalog, volumes, secrets scope, Genie space) as Terraform</w:t>
            </w:r>
          </w:p>
        </w:tc>
        <w:tc>
          <w:tcPr>
            <w:tcW w:type="dxa" w:w="3515"/>
          </w:tcPr>
          <w:p>
            <w:pPr>
              <w:spacing w:after="0"/>
            </w:pPr>
            <w:r>
              <w:rPr>
                <w:b w:val="0"/>
                <w:sz w:val="17"/>
              </w:rPr>
              <w:t>-</w:t>
            </w:r>
          </w:p>
        </w:tc>
        <w:tc>
          <w:tcPr>
            <w:tcW w:type="dxa" w:w="4252"/>
          </w:tcPr>
          <w:p>
            <w:pPr>
              <w:spacing w:after="0"/>
            </w:pPr>
            <w:r>
              <w:rPr>
                <w:b w:val="0"/>
                <w:sz w:val="17"/>
              </w:rPr>
              <w:t>The whole setup reproducible from the repo</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