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765A2" w14:textId="58C1DDA4" w:rsidR="00E454D2" w:rsidRPr="00E454D2" w:rsidRDefault="009D2573" w:rsidP="00E454D2">
      <w:pPr>
        <w:pStyle w:val="Titre1"/>
        <w:pBdr>
          <w:right w:val="single" w:sz="4" w:space="0" w:color="2E74B5" w:themeColor="accent1" w:themeShade="BF"/>
        </w:pBdr>
        <w:rPr>
          <w:lang w:eastAsia="fr-FR"/>
        </w:rPr>
      </w:pPr>
      <w:r>
        <w:rPr>
          <w:noProof/>
          <w:lang w:eastAsia="fr-FR"/>
        </w:rPr>
        <w:t xml:space="preserve">Indicateurs de sortie - </w:t>
      </w:r>
      <w:r w:rsidR="008619E8">
        <w:rPr>
          <w:noProof/>
          <w:lang w:eastAsia="fr-FR"/>
        </w:rPr>
        <w:t>APASE</w:t>
      </w:r>
      <w:bookmarkStart w:id="0" w:name="_GoBack"/>
      <w:bookmarkEnd w:id="0"/>
    </w:p>
    <w:p w14:paraId="4EA2D031" w14:textId="77777777" w:rsidR="00E454D2" w:rsidRDefault="00E454D2"/>
    <w:p w14:paraId="5719C78F" w14:textId="77777777" w:rsidR="009D2573" w:rsidRDefault="009D2573" w:rsidP="009D2573">
      <w:pPr>
        <w:pStyle w:val="Titre2"/>
        <w:rPr>
          <w:b w:val="0"/>
          <w:u w:val="none"/>
        </w:rPr>
      </w:pPr>
    </w:p>
    <w:p w14:paraId="13099809" w14:textId="77777777" w:rsidR="00E454D2" w:rsidRPr="009D2573" w:rsidRDefault="009D2573" w:rsidP="009D2573">
      <w:pPr>
        <w:pStyle w:val="Titre2"/>
        <w:numPr>
          <w:ilvl w:val="0"/>
          <w:numId w:val="14"/>
        </w:numPr>
        <w:rPr>
          <w:b w:val="0"/>
          <w:u w:val="none"/>
        </w:rPr>
      </w:pPr>
      <w:r>
        <w:rPr>
          <w:b w:val="0"/>
          <w:u w:val="none"/>
        </w:rPr>
        <w:t>Informations générales</w:t>
      </w:r>
    </w:p>
    <w:p w14:paraId="721A5800" w14:textId="77777777" w:rsidR="009D2573" w:rsidRPr="009D2573" w:rsidRDefault="009D2573" w:rsidP="00E454D2">
      <w:r w:rsidRPr="009D2573">
        <w:t xml:space="preserve">Nom </w:t>
      </w:r>
      <w:r w:rsidR="00E454D2" w:rsidRPr="009D2573">
        <w:t>Navire</w:t>
      </w:r>
      <w:r>
        <w:t xml:space="preserve"> (à sélectionner ?) </w:t>
      </w:r>
    </w:p>
    <w:p w14:paraId="77AEE3D2" w14:textId="77777777" w:rsidR="009D2573" w:rsidRPr="009D2573" w:rsidRDefault="009D2573" w:rsidP="00E454D2">
      <w:r w:rsidRPr="009D2573">
        <w:t>Dispositif testé</w:t>
      </w:r>
      <w:r>
        <w:t xml:space="preserve"> </w:t>
      </w:r>
      <w:r>
        <w:t>(à sélectionner ?)</w:t>
      </w:r>
    </w:p>
    <w:p w14:paraId="0B66D7D1" w14:textId="77777777" w:rsidR="008A758B" w:rsidRPr="009D2573" w:rsidRDefault="009D2573" w:rsidP="00E454D2">
      <w:r>
        <w:t>Dates </w:t>
      </w:r>
      <w:r>
        <w:t>(à sélectionner ?)</w:t>
      </w:r>
    </w:p>
    <w:p w14:paraId="03722F64" w14:textId="77777777" w:rsidR="009D2573" w:rsidRPr="009D2573" w:rsidRDefault="009D2573" w:rsidP="009D2573">
      <w:r w:rsidRPr="009D2573">
        <w:t xml:space="preserve">Longueur navire : </w:t>
      </w:r>
    </w:p>
    <w:p w14:paraId="4E90C739" w14:textId="77777777" w:rsidR="00A60386" w:rsidRPr="009D2573" w:rsidRDefault="00E454D2" w:rsidP="009D2573">
      <w:r w:rsidRPr="009D2573">
        <w:t xml:space="preserve">Type de fond : </w:t>
      </w:r>
    </w:p>
    <w:p w14:paraId="2337C2E1" w14:textId="77777777" w:rsidR="00E454D2" w:rsidRPr="009D2573" w:rsidRDefault="00E454D2" w:rsidP="009D2573">
      <w:pPr>
        <w:jc w:val="left"/>
        <w:rPr>
          <w:b/>
          <w:sz w:val="24"/>
          <w:u w:val="single"/>
        </w:rPr>
      </w:pPr>
      <w:r w:rsidRPr="009D2573">
        <w:t xml:space="preserve">Etat de la mer : </w:t>
      </w:r>
    </w:p>
    <w:p w14:paraId="2D3BFE2B" w14:textId="77777777" w:rsidR="00EA4F9B" w:rsidRDefault="00EA4F9B" w:rsidP="00E454D2">
      <w:pPr>
        <w:rPr>
          <w:b/>
          <w:u w:val="single"/>
        </w:rPr>
      </w:pPr>
    </w:p>
    <w:p w14:paraId="71927596" w14:textId="77777777" w:rsidR="00AB7D58" w:rsidRDefault="00AB7D58" w:rsidP="00E454D2"/>
    <w:p w14:paraId="1AB5DDA7" w14:textId="77777777" w:rsidR="009D2573" w:rsidRDefault="009D2573" w:rsidP="009D2573">
      <w:pPr>
        <w:pStyle w:val="Titre2"/>
        <w:numPr>
          <w:ilvl w:val="0"/>
          <w:numId w:val="14"/>
        </w:numPr>
        <w:rPr>
          <w:b w:val="0"/>
          <w:u w:val="none"/>
        </w:rPr>
      </w:pPr>
      <w:r>
        <w:rPr>
          <w:b w:val="0"/>
          <w:u w:val="none"/>
        </w:rPr>
        <w:t>Carte zone des essais</w:t>
      </w:r>
    </w:p>
    <w:p w14:paraId="4E050158" w14:textId="77777777" w:rsidR="009D2573" w:rsidRDefault="009D2573" w:rsidP="009D2573"/>
    <w:p w14:paraId="31117738" w14:textId="77777777" w:rsidR="003A3597" w:rsidRDefault="003A3597" w:rsidP="00E454D2"/>
    <w:p w14:paraId="0617688D" w14:textId="77777777" w:rsidR="00E454D2" w:rsidRDefault="00E454D2" w:rsidP="009D2573">
      <w:pPr>
        <w:pStyle w:val="Titre2"/>
        <w:numPr>
          <w:ilvl w:val="0"/>
          <w:numId w:val="14"/>
        </w:numPr>
        <w:rPr>
          <w:b w:val="0"/>
          <w:u w:val="none"/>
        </w:rPr>
      </w:pPr>
      <w:r w:rsidRPr="009D2573">
        <w:rPr>
          <w:b w:val="0"/>
          <w:u w:val="none"/>
        </w:rPr>
        <w:t xml:space="preserve">Comparaison de capture </w:t>
      </w:r>
      <w:r w:rsidR="009D2573">
        <w:rPr>
          <w:b w:val="0"/>
          <w:u w:val="none"/>
        </w:rPr>
        <w:t>pas espèce </w:t>
      </w:r>
    </w:p>
    <w:p w14:paraId="4B12AE75" w14:textId="77777777" w:rsidR="009D2573" w:rsidRDefault="009D2573" w:rsidP="009D2573"/>
    <w:p w14:paraId="26BB920D" w14:textId="77777777" w:rsidR="009D2573" w:rsidRPr="009D2573" w:rsidRDefault="009D2573" w:rsidP="009D2573">
      <w:pPr>
        <w:pStyle w:val="Paragraphedeliste"/>
        <w:numPr>
          <w:ilvl w:val="0"/>
          <w:numId w:val="16"/>
        </w:numPr>
      </w:pPr>
      <w:r>
        <w:t>Pour chaque espèce étudiée</w:t>
      </w:r>
      <w:r w:rsidR="006A2F58">
        <w:t xml:space="preserve"> (protocole chalut simple &amp; protocole chalut jumeau)</w:t>
      </w:r>
    </w:p>
    <w:p w14:paraId="04DEC482" w14:textId="77777777" w:rsidR="009D2573" w:rsidRDefault="009D2573" w:rsidP="009D2573"/>
    <w:p w14:paraId="71256326" w14:textId="77777777" w:rsidR="009D2573" w:rsidRDefault="009D2573" w:rsidP="009D2573">
      <w:r>
        <w:t xml:space="preserve">Taux de variations total débarquement : (poids débarquement </w:t>
      </w:r>
      <w:r>
        <w:t xml:space="preserve">espèce </w:t>
      </w:r>
      <w:r>
        <w:t>dans</w:t>
      </w:r>
      <w:r w:rsidR="006A2F58">
        <w:t xml:space="preserve"> l’ensemble des traits avec le</w:t>
      </w:r>
      <w:r>
        <w:t xml:space="preserve"> sélectif - </w:t>
      </w:r>
      <w:r>
        <w:t>poids débarquement espèce dans</w:t>
      </w:r>
      <w:r w:rsidR="006A2F58">
        <w:t xml:space="preserve"> </w:t>
      </w:r>
      <w:r w:rsidR="006A2F58">
        <w:t>l’ensemble des traits avec le</w:t>
      </w:r>
      <w:r>
        <w:t xml:space="preserve"> </w:t>
      </w:r>
      <w:r>
        <w:t>standard)</w:t>
      </w:r>
      <w:r>
        <w:t xml:space="preserve"> </w:t>
      </w:r>
      <w:r>
        <w:t xml:space="preserve">/ </w:t>
      </w:r>
      <w:r>
        <w:t>poids débarquement espèce dans</w:t>
      </w:r>
      <w:r w:rsidR="006A2F58">
        <w:t xml:space="preserve"> </w:t>
      </w:r>
      <w:r w:rsidR="006A2F58">
        <w:t>l’ensemble des traits avec le</w:t>
      </w:r>
      <w:r>
        <w:t xml:space="preserve"> </w:t>
      </w:r>
      <w:r>
        <w:t>standard</w:t>
      </w:r>
    </w:p>
    <w:p w14:paraId="4259A449" w14:textId="77777777" w:rsidR="009D2573" w:rsidRPr="009D2573" w:rsidRDefault="009D2573" w:rsidP="009D2573"/>
    <w:p w14:paraId="04006B8D" w14:textId="77777777" w:rsidR="009D2573" w:rsidRDefault="009D2573" w:rsidP="009D2573">
      <w:r>
        <w:t xml:space="preserve">Taux de variations total </w:t>
      </w:r>
      <w:r w:rsidR="006A2F58">
        <w:t>rejet</w:t>
      </w:r>
      <w:r>
        <w:t xml:space="preserve"> : (poids </w:t>
      </w:r>
      <w:r w:rsidR="006A2F58">
        <w:t>rejet</w:t>
      </w:r>
      <w:r>
        <w:t xml:space="preserve"> espèce dans </w:t>
      </w:r>
      <w:r w:rsidR="006A2F58">
        <w:t xml:space="preserve">l’ensemble des traits avec le </w:t>
      </w:r>
      <w:r>
        <w:t xml:space="preserve">sélectif - poids </w:t>
      </w:r>
      <w:r w:rsidR="006A2F58">
        <w:t>rejet</w:t>
      </w:r>
      <w:r>
        <w:t xml:space="preserve"> espèce dans </w:t>
      </w:r>
      <w:r w:rsidR="006A2F58">
        <w:t xml:space="preserve">l’ensemble des traits avec le </w:t>
      </w:r>
      <w:r>
        <w:t xml:space="preserve">standard) / poids </w:t>
      </w:r>
      <w:r w:rsidR="006A2F58">
        <w:t>rejet</w:t>
      </w:r>
      <w:r>
        <w:t xml:space="preserve"> espèce dans</w:t>
      </w:r>
      <w:r w:rsidR="006A2F58">
        <w:t xml:space="preserve"> </w:t>
      </w:r>
      <w:r w:rsidR="006A2F58">
        <w:t>l’ensemble des traits avec le</w:t>
      </w:r>
      <w:r>
        <w:t xml:space="preserve"> standard</w:t>
      </w:r>
    </w:p>
    <w:p w14:paraId="1F2AAA56" w14:textId="77777777" w:rsidR="006A2F58" w:rsidRDefault="006A2F58" w:rsidP="009D2573"/>
    <w:p w14:paraId="42D55BDD" w14:textId="77777777" w:rsidR="006A2F58" w:rsidRDefault="006A2F58" w:rsidP="009D2573"/>
    <w:p w14:paraId="0E321716" w14:textId="77777777" w:rsidR="006A2F58" w:rsidRPr="009D2573" w:rsidRDefault="006A2F58" w:rsidP="006A2F58">
      <w:pPr>
        <w:pStyle w:val="Paragraphedeliste"/>
        <w:numPr>
          <w:ilvl w:val="0"/>
          <w:numId w:val="16"/>
        </w:numPr>
      </w:pPr>
      <w:r>
        <w:t>Pour chaque espèce étudiée (protocole chalut jumeau)</w:t>
      </w:r>
    </w:p>
    <w:p w14:paraId="32AC6CC0" w14:textId="77777777" w:rsidR="006A2F58" w:rsidRDefault="006A2F58" w:rsidP="009D2573"/>
    <w:p w14:paraId="1BD4DFB6" w14:textId="77777777" w:rsidR="006A2F58" w:rsidRDefault="006A2F58" w:rsidP="006A2F58">
      <w:r>
        <w:t xml:space="preserve">Taux de variations </w:t>
      </w:r>
      <w:r>
        <w:t>moyen</w:t>
      </w:r>
      <w:r>
        <w:t xml:space="preserve"> débarquement : </w:t>
      </w:r>
      <w:r>
        <w:rPr>
          <w:rFonts w:cstheme="minorHAnsi"/>
        </w:rPr>
        <w:t>Σ</w:t>
      </w:r>
      <w:r>
        <w:t xml:space="preserve"> ((</w:t>
      </w:r>
      <w:r>
        <w:t xml:space="preserve">poids débarquement espèce </w:t>
      </w:r>
      <w:r>
        <w:t xml:space="preserve">trait n dans </w:t>
      </w:r>
      <w:r>
        <w:t xml:space="preserve">sélectif - poids débarquement espèce </w:t>
      </w:r>
      <w:r>
        <w:t>trait n</w:t>
      </w:r>
      <w:r>
        <w:t xml:space="preserve"> avec le standard) / poids débarquement espèce </w:t>
      </w:r>
      <w:r>
        <w:t>trait n dans</w:t>
      </w:r>
      <w:r>
        <w:t xml:space="preserve"> le standard</w:t>
      </w:r>
      <w:r>
        <w:t>) /n</w:t>
      </w:r>
    </w:p>
    <w:p w14:paraId="50971A6A" w14:textId="77777777" w:rsidR="006A2F58" w:rsidRDefault="006A2F58" w:rsidP="006A2F58"/>
    <w:p w14:paraId="4FDD316B" w14:textId="77777777" w:rsidR="00EB5F5A" w:rsidRDefault="00EB5F5A" w:rsidP="00EB5F5A">
      <w:r>
        <w:t xml:space="preserve">Taux de variations moyen </w:t>
      </w:r>
      <w:r>
        <w:t>rejet</w:t>
      </w:r>
      <w:r>
        <w:t xml:space="preserve"> : </w:t>
      </w:r>
      <w:r>
        <w:rPr>
          <w:rFonts w:cstheme="minorHAnsi"/>
        </w:rPr>
        <w:t>Σ</w:t>
      </w:r>
      <w:r>
        <w:t xml:space="preserve"> ((poids </w:t>
      </w:r>
      <w:r>
        <w:t>rejet</w:t>
      </w:r>
      <w:r>
        <w:t xml:space="preserve"> espèce trait n dans sélectif - poids </w:t>
      </w:r>
      <w:r>
        <w:t>rejet</w:t>
      </w:r>
      <w:r>
        <w:t xml:space="preserve"> espèce trait n avec le standard) / poids </w:t>
      </w:r>
      <w:r>
        <w:t>rejet</w:t>
      </w:r>
      <w:r>
        <w:t xml:space="preserve"> espèce trait n dans le standard) /n</w:t>
      </w:r>
    </w:p>
    <w:p w14:paraId="73BDB8B3" w14:textId="77777777" w:rsidR="006A2F58" w:rsidRDefault="006A2F58" w:rsidP="006A2F58"/>
    <w:p w14:paraId="50639B45" w14:textId="77777777" w:rsidR="006A2F58" w:rsidRDefault="006A2F58" w:rsidP="009D2573"/>
    <w:p w14:paraId="184883CE" w14:textId="77777777" w:rsidR="00EB5F5A" w:rsidRPr="009D2573" w:rsidRDefault="00EB5F5A" w:rsidP="00EB5F5A">
      <w:pPr>
        <w:pStyle w:val="Paragraphedeliste"/>
        <w:numPr>
          <w:ilvl w:val="0"/>
          <w:numId w:val="16"/>
        </w:numPr>
      </w:pPr>
      <w:r>
        <w:t>Pour chaque espèce étudiée (protocole chalut jumeau)</w:t>
      </w:r>
    </w:p>
    <w:p w14:paraId="30F5323B" w14:textId="77777777" w:rsidR="00EB5F5A" w:rsidRDefault="00EB5F5A" w:rsidP="00825C34">
      <w:r>
        <w:t xml:space="preserve"> </w:t>
      </w:r>
    </w:p>
    <w:p w14:paraId="4994C458" w14:textId="77777777" w:rsidR="00825C34" w:rsidRDefault="00EB5F5A" w:rsidP="00825C34">
      <w:r>
        <w:t>Graphique comparaison capture :</w:t>
      </w:r>
    </w:p>
    <w:p w14:paraId="6B3D45AC" w14:textId="77777777" w:rsidR="007F53C3" w:rsidRDefault="007F53C3" w:rsidP="00E454D2">
      <w:pPr>
        <w:rPr>
          <w:noProof/>
          <w:lang w:eastAsia="fr-FR"/>
        </w:rPr>
      </w:pPr>
    </w:p>
    <w:p w14:paraId="28A6D24B" w14:textId="77777777" w:rsidR="00825C34" w:rsidRDefault="005F5A4F" w:rsidP="00E454D2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464C4CF8" wp14:editId="7831AE8A">
            <wp:extent cx="5340351" cy="3454401"/>
            <wp:effectExtent l="0" t="0" r="12700" b="12700"/>
            <wp:docPr id="21" name="Graphique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DE55FF" w14:textId="77777777" w:rsidR="00825C34" w:rsidRDefault="00825C34" w:rsidP="00E454D2">
      <w:pPr>
        <w:rPr>
          <w:noProof/>
          <w:lang w:eastAsia="fr-FR"/>
        </w:rPr>
      </w:pPr>
    </w:p>
    <w:p w14:paraId="4695EDCE" w14:textId="77777777" w:rsidR="007964A7" w:rsidRDefault="007964A7" w:rsidP="00E454D2">
      <w:pPr>
        <w:rPr>
          <w:noProof/>
          <w:lang w:eastAsia="fr-FR"/>
        </w:rPr>
      </w:pPr>
    </w:p>
    <w:p w14:paraId="00D0CD55" w14:textId="77777777" w:rsidR="00EB5F5A" w:rsidRDefault="00EB5F5A" w:rsidP="00EB5F5A">
      <w:pPr>
        <w:pStyle w:val="Titre2"/>
        <w:numPr>
          <w:ilvl w:val="0"/>
          <w:numId w:val="14"/>
        </w:numPr>
        <w:rPr>
          <w:b w:val="0"/>
          <w:u w:val="none"/>
        </w:rPr>
      </w:pPr>
      <w:commentRangeStart w:id="1"/>
      <w:r>
        <w:rPr>
          <w:b w:val="0"/>
          <w:u w:val="none"/>
        </w:rPr>
        <w:t>Représentation répartition par taille</w:t>
      </w:r>
      <w:commentRangeEnd w:id="1"/>
      <w:r w:rsidR="009E57C5">
        <w:rPr>
          <w:rStyle w:val="Marquedecommentaire"/>
          <w:rFonts w:asciiTheme="minorHAnsi" w:eastAsiaTheme="minorHAnsi" w:hAnsiTheme="minorHAnsi" w:cstheme="minorBidi"/>
          <w:b w:val="0"/>
          <w:color w:val="auto"/>
          <w:u w:val="none"/>
        </w:rPr>
        <w:commentReference w:id="1"/>
      </w:r>
    </w:p>
    <w:p w14:paraId="6561F305" w14:textId="77777777" w:rsidR="00EB5F5A" w:rsidRDefault="00EB5F5A" w:rsidP="00EB5F5A"/>
    <w:p w14:paraId="79B4E90C" w14:textId="77777777" w:rsidR="00EB5F5A" w:rsidRPr="009D2573" w:rsidRDefault="00EB5F5A" w:rsidP="00EB5F5A">
      <w:pPr>
        <w:pStyle w:val="Paragraphedeliste"/>
        <w:numPr>
          <w:ilvl w:val="0"/>
          <w:numId w:val="16"/>
        </w:numPr>
      </w:pPr>
      <w:r>
        <w:t xml:space="preserve">Pour chaque espèce étudiée (protocole chalut </w:t>
      </w:r>
      <w:r>
        <w:t>simple &amp; chalut jumeau</w:t>
      </w:r>
      <w:r>
        <w:t>)</w:t>
      </w:r>
    </w:p>
    <w:p w14:paraId="2C5D5BAF" w14:textId="77777777" w:rsidR="003A3597" w:rsidRDefault="003A3597" w:rsidP="00A7382E"/>
    <w:p w14:paraId="149318D3" w14:textId="77777777" w:rsidR="003A3597" w:rsidRDefault="00EB5F5A" w:rsidP="00EB5F5A">
      <w:pPr>
        <w:pStyle w:val="Paragraphedeliste"/>
        <w:numPr>
          <w:ilvl w:val="0"/>
          <w:numId w:val="18"/>
        </w:numPr>
      </w:pPr>
      <w:r>
        <w:t>Elévation du nombre de taille de l’espèce selon les fractions : (poids total espèce / poids mesuré espèce)</w:t>
      </w:r>
    </w:p>
    <w:p w14:paraId="6A2C1EBB" w14:textId="77777777" w:rsidR="00EB5F5A" w:rsidRDefault="00EB5F5A" w:rsidP="00EB5F5A">
      <w:pPr>
        <w:pStyle w:val="Paragraphedeliste"/>
      </w:pPr>
      <w:r>
        <w:t>4 fractions par traits au chalut jumeau : Débarquement standard, débarquement sélectif, rejet standard, rejet sélectif</w:t>
      </w:r>
    </w:p>
    <w:p w14:paraId="39A3E219" w14:textId="77777777" w:rsidR="00EB5F5A" w:rsidRDefault="00EB5F5A" w:rsidP="00EB5F5A">
      <w:pPr>
        <w:pStyle w:val="Paragraphedeliste"/>
      </w:pPr>
      <w:r>
        <w:t xml:space="preserve">2 </w:t>
      </w:r>
      <w:r>
        <w:t xml:space="preserve">fractions par traits au chalut </w:t>
      </w:r>
      <w:r>
        <w:t>simple</w:t>
      </w:r>
      <w:r>
        <w:t> : Débarquement</w:t>
      </w:r>
      <w:r>
        <w:t xml:space="preserve"> et rejet standard</w:t>
      </w:r>
    </w:p>
    <w:p w14:paraId="5F259DB7" w14:textId="77777777" w:rsidR="00EB5F5A" w:rsidRDefault="00EB5F5A" w:rsidP="00EB5F5A">
      <w:pPr>
        <w:pStyle w:val="Paragraphedeliste"/>
      </w:pPr>
    </w:p>
    <w:p w14:paraId="41205E01" w14:textId="77777777" w:rsidR="00EB5F5A" w:rsidRDefault="00EB5F5A" w:rsidP="00EB5F5A">
      <w:pPr>
        <w:pStyle w:val="Paragraphedeliste"/>
        <w:numPr>
          <w:ilvl w:val="0"/>
          <w:numId w:val="18"/>
        </w:numPr>
      </w:pPr>
      <w:r>
        <w:t>Sommer l’ensemble des tailles par espèce et par type de dispositif (selectif vs standard)</w:t>
      </w:r>
    </w:p>
    <w:p w14:paraId="11C3351E" w14:textId="77777777" w:rsidR="00EB5F5A" w:rsidRDefault="00EB5F5A" w:rsidP="00EB5F5A">
      <w:pPr>
        <w:pStyle w:val="Paragraphedeliste"/>
      </w:pPr>
    </w:p>
    <w:p w14:paraId="08D970D5" w14:textId="77777777" w:rsidR="00EB5F5A" w:rsidRDefault="00EB5F5A" w:rsidP="00EB5F5A">
      <w:pPr>
        <w:pStyle w:val="Paragraphedeliste"/>
        <w:numPr>
          <w:ilvl w:val="0"/>
          <w:numId w:val="18"/>
        </w:numPr>
      </w:pPr>
      <w:r>
        <w:t>Représentation en graphique (Total, débarquement, rejet)</w:t>
      </w:r>
    </w:p>
    <w:p w14:paraId="18CA3FF2" w14:textId="77777777" w:rsidR="003A3597" w:rsidRDefault="003A3597" w:rsidP="003A3597">
      <w:pPr>
        <w:rPr>
          <w:b/>
          <w:sz w:val="32"/>
        </w:rPr>
      </w:pPr>
      <w:r w:rsidRPr="005C07C5">
        <w:rPr>
          <w:noProof/>
          <w:lang w:eastAsia="fr-FR"/>
        </w:rPr>
        <w:lastRenderedPageBreak/>
        <w:drawing>
          <wp:inline distT="0" distB="0" distL="0" distR="0" wp14:anchorId="2501EC48" wp14:editId="55D23B48">
            <wp:extent cx="5760720" cy="35631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F2F8" w14:textId="77777777" w:rsidR="003A3597" w:rsidRDefault="003A3597" w:rsidP="003A3597"/>
    <w:p w14:paraId="0C8CD596" w14:textId="77777777" w:rsidR="003A3597" w:rsidRDefault="003A3597" w:rsidP="003A3597">
      <w:pPr>
        <w:rPr>
          <w:b/>
          <w:sz w:val="32"/>
        </w:rPr>
      </w:pPr>
      <w:r w:rsidRPr="00CD73EE">
        <w:rPr>
          <w:noProof/>
          <w:lang w:eastAsia="fr-FR"/>
        </w:rPr>
        <w:drawing>
          <wp:inline distT="0" distB="0" distL="0" distR="0" wp14:anchorId="7D390AAD" wp14:editId="105B80AB">
            <wp:extent cx="5579269" cy="338137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04" cy="338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8588" w14:textId="77777777" w:rsidR="003A3597" w:rsidRDefault="003A3597" w:rsidP="003A3597">
      <w:pPr>
        <w:rPr>
          <w:b/>
          <w:sz w:val="32"/>
        </w:rPr>
      </w:pPr>
    </w:p>
    <w:p w14:paraId="6D11620F" w14:textId="77777777" w:rsidR="003A3597" w:rsidRDefault="003A3597" w:rsidP="003A3597">
      <w:pPr>
        <w:rPr>
          <w:b/>
          <w:sz w:val="32"/>
        </w:rPr>
      </w:pPr>
      <w:r w:rsidRPr="00CD73EE">
        <w:rPr>
          <w:noProof/>
          <w:lang w:eastAsia="fr-FR"/>
        </w:rPr>
        <w:lastRenderedPageBreak/>
        <w:drawing>
          <wp:inline distT="0" distB="0" distL="0" distR="0" wp14:anchorId="2163D04D" wp14:editId="0D3AEBF3">
            <wp:extent cx="5524500" cy="3504790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452" cy="350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C75E" w14:textId="77777777" w:rsidR="003A3597" w:rsidRDefault="003A3597" w:rsidP="003A3597">
      <w:pPr>
        <w:rPr>
          <w:b/>
          <w:sz w:val="32"/>
        </w:rPr>
      </w:pPr>
    </w:p>
    <w:sectPr w:rsidR="003A3597" w:rsidSect="007B2D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Quiterie SOURGET" w:date="2022-04-11T10:24:00Z" w:initials="QS">
    <w:p w14:paraId="5605107E" w14:textId="77777777" w:rsidR="009E57C5" w:rsidRDefault="009E57C5">
      <w:pPr>
        <w:pStyle w:val="Commentaire"/>
      </w:pPr>
      <w:r>
        <w:rPr>
          <w:rStyle w:val="Marquedecommentaire"/>
        </w:rPr>
        <w:annotationRef/>
      </w:r>
      <w:r>
        <w:t>Voir la faisabilité de l’élevation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05107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FF848" w14:textId="77777777" w:rsidR="00A35D53" w:rsidRDefault="00A35D53" w:rsidP="00960DEF">
      <w:pPr>
        <w:spacing w:line="240" w:lineRule="auto"/>
      </w:pPr>
      <w:r>
        <w:separator/>
      </w:r>
    </w:p>
  </w:endnote>
  <w:endnote w:type="continuationSeparator" w:id="0">
    <w:p w14:paraId="37801DA5" w14:textId="77777777" w:rsidR="00A35D53" w:rsidRDefault="00A35D53" w:rsidP="00960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C954E" w14:textId="77777777" w:rsidR="00960DEF" w:rsidRDefault="00960D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48AB1" w14:textId="77777777" w:rsidR="00960DEF" w:rsidRDefault="00960DE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AD585" w14:textId="77777777" w:rsidR="00960DEF" w:rsidRDefault="00960D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75872" w14:textId="77777777" w:rsidR="00A35D53" w:rsidRDefault="00A35D53" w:rsidP="00960DEF">
      <w:pPr>
        <w:spacing w:line="240" w:lineRule="auto"/>
      </w:pPr>
      <w:r>
        <w:separator/>
      </w:r>
    </w:p>
  </w:footnote>
  <w:footnote w:type="continuationSeparator" w:id="0">
    <w:p w14:paraId="79FE553E" w14:textId="77777777" w:rsidR="00A35D53" w:rsidRDefault="00A35D53" w:rsidP="00960D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EDE92" w14:textId="77777777" w:rsidR="00960DEF" w:rsidRDefault="00960D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BC9BE" w14:textId="77777777" w:rsidR="00960DEF" w:rsidRDefault="00960DE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FB029" w14:textId="77777777" w:rsidR="00960DEF" w:rsidRDefault="00960D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E58"/>
    <w:multiLevelType w:val="hybridMultilevel"/>
    <w:tmpl w:val="10307D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A76F1"/>
    <w:multiLevelType w:val="hybridMultilevel"/>
    <w:tmpl w:val="FCB682C0"/>
    <w:lvl w:ilvl="0" w:tplc="A34C1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66F68"/>
    <w:multiLevelType w:val="hybridMultilevel"/>
    <w:tmpl w:val="F18ADF26"/>
    <w:lvl w:ilvl="0" w:tplc="EB5484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0677"/>
    <w:multiLevelType w:val="hybridMultilevel"/>
    <w:tmpl w:val="51024D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F1224"/>
    <w:multiLevelType w:val="hybridMultilevel"/>
    <w:tmpl w:val="FCB682C0"/>
    <w:lvl w:ilvl="0" w:tplc="A34C1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932C9"/>
    <w:multiLevelType w:val="hybridMultilevel"/>
    <w:tmpl w:val="F3081E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78EB"/>
    <w:multiLevelType w:val="hybridMultilevel"/>
    <w:tmpl w:val="21ECC94E"/>
    <w:lvl w:ilvl="0" w:tplc="F6B2A72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F4A6D"/>
    <w:multiLevelType w:val="hybridMultilevel"/>
    <w:tmpl w:val="FCB682C0"/>
    <w:lvl w:ilvl="0" w:tplc="A34C1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04848"/>
    <w:multiLevelType w:val="hybridMultilevel"/>
    <w:tmpl w:val="5DFC05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27E01"/>
    <w:multiLevelType w:val="hybridMultilevel"/>
    <w:tmpl w:val="53E282BA"/>
    <w:lvl w:ilvl="0" w:tplc="2E18CC46"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FEA08DD"/>
    <w:multiLevelType w:val="hybridMultilevel"/>
    <w:tmpl w:val="05A4A5B2"/>
    <w:lvl w:ilvl="0" w:tplc="A34C1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E5DDA"/>
    <w:multiLevelType w:val="hybridMultilevel"/>
    <w:tmpl w:val="D644A954"/>
    <w:lvl w:ilvl="0" w:tplc="287206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429E3"/>
    <w:multiLevelType w:val="hybridMultilevel"/>
    <w:tmpl w:val="9910A23E"/>
    <w:lvl w:ilvl="0" w:tplc="F1D07DB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292783"/>
    <w:multiLevelType w:val="hybridMultilevel"/>
    <w:tmpl w:val="BB2AEB82"/>
    <w:lvl w:ilvl="0" w:tplc="EB1EA0D0">
      <w:start w:val="5"/>
      <w:numFmt w:val="bullet"/>
      <w:lvlText w:val="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 w15:restartNumberingAfterBreak="0">
    <w:nsid w:val="638F26C4"/>
    <w:multiLevelType w:val="hybridMultilevel"/>
    <w:tmpl w:val="52864F56"/>
    <w:lvl w:ilvl="0" w:tplc="4A04D5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50838"/>
    <w:multiLevelType w:val="hybridMultilevel"/>
    <w:tmpl w:val="EC984A54"/>
    <w:lvl w:ilvl="0" w:tplc="00000002">
      <w:start w:val="4"/>
      <w:numFmt w:val="bullet"/>
      <w:lvlText w:val="-"/>
      <w:lvlJc w:val="left"/>
      <w:pPr>
        <w:ind w:left="1428" w:hanging="360"/>
      </w:pPr>
      <w:rPr>
        <w:rFonts w:ascii="Arial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037DDF"/>
    <w:multiLevelType w:val="hybridMultilevel"/>
    <w:tmpl w:val="5A8E5B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57B46"/>
    <w:multiLevelType w:val="hybridMultilevel"/>
    <w:tmpl w:val="4ABC76F2"/>
    <w:lvl w:ilvl="0" w:tplc="3E188B8E">
      <w:numFmt w:val="bullet"/>
      <w:lvlText w:val="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12"/>
  </w:num>
  <w:num w:numId="8">
    <w:abstractNumId w:val="11"/>
  </w:num>
  <w:num w:numId="9">
    <w:abstractNumId w:val="14"/>
  </w:num>
  <w:num w:numId="10">
    <w:abstractNumId w:val="13"/>
  </w:num>
  <w:num w:numId="11">
    <w:abstractNumId w:val="15"/>
  </w:num>
  <w:num w:numId="12">
    <w:abstractNumId w:val="9"/>
  </w:num>
  <w:num w:numId="13">
    <w:abstractNumId w:val="17"/>
  </w:num>
  <w:num w:numId="14">
    <w:abstractNumId w:val="4"/>
  </w:num>
  <w:num w:numId="15">
    <w:abstractNumId w:val="7"/>
  </w:num>
  <w:num w:numId="16">
    <w:abstractNumId w:val="6"/>
  </w:num>
  <w:num w:numId="17">
    <w:abstractNumId w:val="1"/>
  </w:num>
  <w:num w:numId="1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Quiterie SOURGET">
    <w15:presenceInfo w15:providerId="None" w15:userId="Quiterie SOURG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24"/>
    <w:rsid w:val="00002383"/>
    <w:rsid w:val="000F0ABD"/>
    <w:rsid w:val="00150B80"/>
    <w:rsid w:val="001533B3"/>
    <w:rsid w:val="00154B8A"/>
    <w:rsid w:val="00164397"/>
    <w:rsid w:val="001666AC"/>
    <w:rsid w:val="00190E38"/>
    <w:rsid w:val="001D1E4D"/>
    <w:rsid w:val="001D7161"/>
    <w:rsid w:val="002167B4"/>
    <w:rsid w:val="002247E3"/>
    <w:rsid w:val="0023649A"/>
    <w:rsid w:val="002754F7"/>
    <w:rsid w:val="00295F78"/>
    <w:rsid w:val="0029799D"/>
    <w:rsid w:val="002A1072"/>
    <w:rsid w:val="002C2A5A"/>
    <w:rsid w:val="002C72AF"/>
    <w:rsid w:val="00314A21"/>
    <w:rsid w:val="00381463"/>
    <w:rsid w:val="003A3597"/>
    <w:rsid w:val="003A6D74"/>
    <w:rsid w:val="003B3988"/>
    <w:rsid w:val="003C11F0"/>
    <w:rsid w:val="003C1AF3"/>
    <w:rsid w:val="003E028E"/>
    <w:rsid w:val="003E348D"/>
    <w:rsid w:val="003E400B"/>
    <w:rsid w:val="004020B0"/>
    <w:rsid w:val="0042692F"/>
    <w:rsid w:val="00426D24"/>
    <w:rsid w:val="004D608B"/>
    <w:rsid w:val="00503450"/>
    <w:rsid w:val="00507FB5"/>
    <w:rsid w:val="00521114"/>
    <w:rsid w:val="00544815"/>
    <w:rsid w:val="0054558B"/>
    <w:rsid w:val="00583FDC"/>
    <w:rsid w:val="005A4AC0"/>
    <w:rsid w:val="005A707D"/>
    <w:rsid w:val="005B2479"/>
    <w:rsid w:val="005C2972"/>
    <w:rsid w:val="005D2CE3"/>
    <w:rsid w:val="005F2B70"/>
    <w:rsid w:val="005F3820"/>
    <w:rsid w:val="005F5A4F"/>
    <w:rsid w:val="00607BAE"/>
    <w:rsid w:val="0061531A"/>
    <w:rsid w:val="00636C2E"/>
    <w:rsid w:val="00642872"/>
    <w:rsid w:val="006502F6"/>
    <w:rsid w:val="00670DF0"/>
    <w:rsid w:val="00674161"/>
    <w:rsid w:val="0068002B"/>
    <w:rsid w:val="006A2F58"/>
    <w:rsid w:val="006A4123"/>
    <w:rsid w:val="00702642"/>
    <w:rsid w:val="007141C9"/>
    <w:rsid w:val="00753CDB"/>
    <w:rsid w:val="0079238B"/>
    <w:rsid w:val="007964A7"/>
    <w:rsid w:val="007A7737"/>
    <w:rsid w:val="007B2DAE"/>
    <w:rsid w:val="007D7BF1"/>
    <w:rsid w:val="007F02CC"/>
    <w:rsid w:val="007F53C3"/>
    <w:rsid w:val="00825C34"/>
    <w:rsid w:val="00831C1E"/>
    <w:rsid w:val="008363C7"/>
    <w:rsid w:val="00840054"/>
    <w:rsid w:val="008619E8"/>
    <w:rsid w:val="008A758B"/>
    <w:rsid w:val="008C3C28"/>
    <w:rsid w:val="008F58B4"/>
    <w:rsid w:val="00906DFE"/>
    <w:rsid w:val="009145F5"/>
    <w:rsid w:val="00927E0B"/>
    <w:rsid w:val="00960DEF"/>
    <w:rsid w:val="009C275F"/>
    <w:rsid w:val="009C7AD3"/>
    <w:rsid w:val="009D2573"/>
    <w:rsid w:val="009E57C5"/>
    <w:rsid w:val="00A34F6C"/>
    <w:rsid w:val="00A35D53"/>
    <w:rsid w:val="00A4220F"/>
    <w:rsid w:val="00A42A38"/>
    <w:rsid w:val="00A4422E"/>
    <w:rsid w:val="00A45B3B"/>
    <w:rsid w:val="00A60386"/>
    <w:rsid w:val="00A7382E"/>
    <w:rsid w:val="00A8327C"/>
    <w:rsid w:val="00A86986"/>
    <w:rsid w:val="00A900C7"/>
    <w:rsid w:val="00AB7D58"/>
    <w:rsid w:val="00AD540E"/>
    <w:rsid w:val="00AF3A30"/>
    <w:rsid w:val="00B54555"/>
    <w:rsid w:val="00C21B1A"/>
    <w:rsid w:val="00C4297F"/>
    <w:rsid w:val="00C46EC0"/>
    <w:rsid w:val="00C53211"/>
    <w:rsid w:val="00C735E7"/>
    <w:rsid w:val="00C96154"/>
    <w:rsid w:val="00CC30F6"/>
    <w:rsid w:val="00CC7401"/>
    <w:rsid w:val="00CD43C6"/>
    <w:rsid w:val="00CD7F2E"/>
    <w:rsid w:val="00CE07EF"/>
    <w:rsid w:val="00CF113D"/>
    <w:rsid w:val="00D2037A"/>
    <w:rsid w:val="00D43575"/>
    <w:rsid w:val="00D44175"/>
    <w:rsid w:val="00D77621"/>
    <w:rsid w:val="00DC5745"/>
    <w:rsid w:val="00DD7ED5"/>
    <w:rsid w:val="00DE1149"/>
    <w:rsid w:val="00E454D2"/>
    <w:rsid w:val="00EA4F9B"/>
    <w:rsid w:val="00EB03A0"/>
    <w:rsid w:val="00EB5F5A"/>
    <w:rsid w:val="00EB7012"/>
    <w:rsid w:val="00EC1740"/>
    <w:rsid w:val="00EE551A"/>
    <w:rsid w:val="00F07E44"/>
    <w:rsid w:val="00F108AE"/>
    <w:rsid w:val="00F23F7E"/>
    <w:rsid w:val="00F55477"/>
    <w:rsid w:val="00F71741"/>
    <w:rsid w:val="00F76D74"/>
    <w:rsid w:val="00F77FEF"/>
    <w:rsid w:val="00F93C3D"/>
    <w:rsid w:val="00FA07E6"/>
    <w:rsid w:val="00FA3A67"/>
    <w:rsid w:val="00FA5191"/>
    <w:rsid w:val="00FA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329CB"/>
  <w15:docId w15:val="{5C484F7F-4366-4A00-B079-8267AE48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F5A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454D2"/>
    <w:pPr>
      <w:keepNext/>
      <w:keepLines/>
      <w:pBdr>
        <w:top w:val="single" w:sz="4" w:space="1" w:color="2E74B5" w:themeColor="accent1" w:themeShade="BF"/>
        <w:left w:val="single" w:sz="4" w:space="4" w:color="2E74B5" w:themeColor="accent1" w:themeShade="BF"/>
        <w:bottom w:val="single" w:sz="4" w:space="1" w:color="2E74B5" w:themeColor="accent1" w:themeShade="BF"/>
        <w:right w:val="single" w:sz="4" w:space="4" w:color="2E74B5" w:themeColor="accent1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34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54D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link w:val="ParagraphedelisteCar"/>
    <w:uiPriority w:val="34"/>
    <w:qFormat/>
    <w:rsid w:val="00E454D2"/>
    <w:pPr>
      <w:spacing w:line="276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E4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E348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960DE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DEF"/>
  </w:style>
  <w:style w:type="paragraph" w:styleId="Pieddepage">
    <w:name w:val="footer"/>
    <w:basedOn w:val="Normal"/>
    <w:link w:val="PieddepageCar"/>
    <w:uiPriority w:val="99"/>
    <w:unhideWhenUsed/>
    <w:rsid w:val="00960DE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DEF"/>
  </w:style>
  <w:style w:type="paragraph" w:styleId="Textedebulles">
    <w:name w:val="Balloon Text"/>
    <w:basedOn w:val="Normal"/>
    <w:link w:val="TextedebullesCar"/>
    <w:uiPriority w:val="99"/>
    <w:semiHidden/>
    <w:unhideWhenUsed/>
    <w:rsid w:val="003814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1463"/>
    <w:rPr>
      <w:rFonts w:ascii="Tahoma" w:hAnsi="Tahoma" w:cs="Tahoma"/>
      <w:sz w:val="16"/>
      <w:szCs w:val="16"/>
    </w:rPr>
  </w:style>
  <w:style w:type="paragraph" w:customStyle="1" w:styleId="explication">
    <w:name w:val="explication"/>
    <w:basedOn w:val="Paragraphedeliste"/>
    <w:link w:val="explicationCar"/>
    <w:qFormat/>
    <w:rsid w:val="00674161"/>
    <w:pPr>
      <w:pBdr>
        <w:left w:val="dotDotDash" w:sz="12" w:space="4" w:color="auto"/>
      </w:pBdr>
      <w:ind w:left="1134"/>
    </w:pPr>
    <w:rPr>
      <w:i/>
      <w14:textOutline w14:w="9525" w14:cap="rnd" w14:cmpd="sng" w14:algn="ctr">
        <w14:noFill/>
        <w14:prstDash w14:val="solid"/>
        <w14:bevel/>
      </w14:textOutline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02642"/>
  </w:style>
  <w:style w:type="character" w:customStyle="1" w:styleId="explicationCar">
    <w:name w:val="explication Car"/>
    <w:basedOn w:val="ParagraphedelisteCar"/>
    <w:link w:val="explication"/>
    <w:rsid w:val="00674161"/>
    <w:rPr>
      <w:i/>
      <w14:textOutline w14:w="9525" w14:cap="rnd" w14:cmpd="sng" w14:algn="ctr">
        <w14:noFill/>
        <w14:prstDash w14:val="solid"/>
        <w14:bevel/>
      </w14:textOutline>
    </w:rPr>
  </w:style>
  <w:style w:type="character" w:styleId="Marquedecommentaire">
    <w:name w:val="annotation reference"/>
    <w:basedOn w:val="Policepardfaut"/>
    <w:uiPriority w:val="99"/>
    <w:semiHidden/>
    <w:unhideWhenUsed/>
    <w:rsid w:val="009E57C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E57C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E57C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E57C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E57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glia\Documents\2018-2019%20OPTISEL\Grille%20&#224;%20langoustine\R&#233;sultats_GL_2019\Malic&#233;ane\extraction_capture_Malic&#233;a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600"/>
              <a:t>Comparaison des débarquements et rejets </a:t>
            </a:r>
          </a:p>
          <a:p>
            <a:pPr>
              <a:defRPr/>
            </a:pPr>
            <a:r>
              <a:rPr lang="fr-FR" sz="1600"/>
              <a:t>(tous traits)</a:t>
            </a:r>
          </a:p>
        </c:rich>
      </c:tx>
      <c:layout>
        <c:manualLayout>
          <c:xMode val="edge"/>
          <c:yMode val="edge"/>
          <c:x val="0.15271486836726653"/>
          <c:y val="4.8086484458521169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737721172260023"/>
          <c:y val="0.17642914068169852"/>
          <c:w val="0.7021261336567578"/>
          <c:h val="0.67342514492825212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Feuil1!$K$89</c:f>
              <c:strCache>
                <c:ptCount val="1"/>
                <c:pt idx="0">
                  <c:v>Débarquement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7"/>
            <c:spPr>
              <a:ln>
                <a:noFill/>
              </a:ln>
            </c:spPr>
          </c:marker>
          <c:xVal>
            <c:numRef>
              <c:f>(Feuil1!$B$115:$B$120,Feuil1!$B$122,Feuil1!$B$124:$B$133)</c:f>
              <c:numCache>
                <c:formatCode>General</c:formatCode>
                <c:ptCount val="17"/>
                <c:pt idx="0">
                  <c:v>20.3</c:v>
                </c:pt>
                <c:pt idx="1">
                  <c:v>27.5</c:v>
                </c:pt>
                <c:pt idx="2">
                  <c:v>13.600000000000001</c:v>
                </c:pt>
                <c:pt idx="3">
                  <c:v>17</c:v>
                </c:pt>
                <c:pt idx="4">
                  <c:v>19.600000000000001</c:v>
                </c:pt>
                <c:pt idx="5">
                  <c:v>28</c:v>
                </c:pt>
                <c:pt idx="6">
                  <c:v>3.25</c:v>
                </c:pt>
                <c:pt idx="7">
                  <c:v>32</c:v>
                </c:pt>
                <c:pt idx="8">
                  <c:v>12.3</c:v>
                </c:pt>
                <c:pt idx="9">
                  <c:v>36.5</c:v>
                </c:pt>
                <c:pt idx="10">
                  <c:v>30.6</c:v>
                </c:pt>
                <c:pt idx="11">
                  <c:v>41.5</c:v>
                </c:pt>
                <c:pt idx="12">
                  <c:v>31.3</c:v>
                </c:pt>
                <c:pt idx="13">
                  <c:v>20</c:v>
                </c:pt>
                <c:pt idx="14">
                  <c:v>33.5</c:v>
                </c:pt>
                <c:pt idx="15">
                  <c:v>34.5</c:v>
                </c:pt>
                <c:pt idx="16">
                  <c:v>17.5</c:v>
                </c:pt>
              </c:numCache>
            </c:numRef>
          </c:xVal>
          <c:yVal>
            <c:numRef>
              <c:f>(Feuil1!$F$115:$F$120,Feuil1!$F$122,Feuil1!$F$124:$F$134)</c:f>
              <c:numCache>
                <c:formatCode>General</c:formatCode>
                <c:ptCount val="18"/>
                <c:pt idx="0">
                  <c:v>28.8</c:v>
                </c:pt>
                <c:pt idx="1">
                  <c:v>25.5</c:v>
                </c:pt>
                <c:pt idx="2">
                  <c:v>16.100000000000001</c:v>
                </c:pt>
                <c:pt idx="3">
                  <c:v>16.5</c:v>
                </c:pt>
                <c:pt idx="4">
                  <c:v>14.4</c:v>
                </c:pt>
                <c:pt idx="5">
                  <c:v>25.5</c:v>
                </c:pt>
                <c:pt idx="6">
                  <c:v>5.4</c:v>
                </c:pt>
                <c:pt idx="7">
                  <c:v>33</c:v>
                </c:pt>
                <c:pt idx="8">
                  <c:v>14.3</c:v>
                </c:pt>
                <c:pt idx="9">
                  <c:v>36.5</c:v>
                </c:pt>
                <c:pt idx="10">
                  <c:v>31.7</c:v>
                </c:pt>
                <c:pt idx="11">
                  <c:v>38</c:v>
                </c:pt>
                <c:pt idx="12">
                  <c:v>28.5</c:v>
                </c:pt>
                <c:pt idx="13">
                  <c:v>23</c:v>
                </c:pt>
                <c:pt idx="14">
                  <c:v>29.5</c:v>
                </c:pt>
                <c:pt idx="15">
                  <c:v>38.5</c:v>
                </c:pt>
                <c:pt idx="16">
                  <c:v>20.9</c:v>
                </c:pt>
                <c:pt idx="17">
                  <c:v>426.09999999999997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19-4B3C-BE9A-28B5E20A1BDD}"/>
            </c:ext>
          </c:extLst>
        </c:ser>
        <c:ser>
          <c:idx val="1"/>
          <c:order val="1"/>
          <c:tx>
            <c:strRef>
              <c:f>Feuil1!$L$89</c:f>
              <c:strCache>
                <c:ptCount val="1"/>
                <c:pt idx="0">
                  <c:v>Rejet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7"/>
            <c:spPr>
              <a:solidFill>
                <a:srgbClr val="F79646"/>
              </a:solidFill>
              <a:ln>
                <a:noFill/>
              </a:ln>
            </c:spPr>
          </c:marker>
          <c:xVal>
            <c:numRef>
              <c:f>(Feuil1!$D$91:$D$96,Feuil1!$D$98,Feuil1!$D$100:$D$109)</c:f>
              <c:numCache>
                <c:formatCode>General</c:formatCode>
                <c:ptCount val="17"/>
                <c:pt idx="0">
                  <c:v>13.7</c:v>
                </c:pt>
                <c:pt idx="1">
                  <c:v>4</c:v>
                </c:pt>
                <c:pt idx="2">
                  <c:v>2.0499999999999998</c:v>
                </c:pt>
                <c:pt idx="3">
                  <c:v>12.7</c:v>
                </c:pt>
                <c:pt idx="4">
                  <c:v>6.2</c:v>
                </c:pt>
                <c:pt idx="5">
                  <c:v>4.8</c:v>
                </c:pt>
                <c:pt idx="6">
                  <c:v>5.8</c:v>
                </c:pt>
                <c:pt idx="7">
                  <c:v>26.2</c:v>
                </c:pt>
                <c:pt idx="8">
                  <c:v>9.94</c:v>
                </c:pt>
                <c:pt idx="9">
                  <c:v>24.9</c:v>
                </c:pt>
                <c:pt idx="10">
                  <c:v>15.87</c:v>
                </c:pt>
                <c:pt idx="11">
                  <c:v>9.74</c:v>
                </c:pt>
                <c:pt idx="12">
                  <c:v>10.050000000000001</c:v>
                </c:pt>
                <c:pt idx="13">
                  <c:v>14.17</c:v>
                </c:pt>
                <c:pt idx="14">
                  <c:v>18.48</c:v>
                </c:pt>
                <c:pt idx="15">
                  <c:v>23.3</c:v>
                </c:pt>
                <c:pt idx="16">
                  <c:v>3.77</c:v>
                </c:pt>
              </c:numCache>
            </c:numRef>
          </c:xVal>
          <c:yVal>
            <c:numRef>
              <c:f>(Feuil1!$H$91:$H$96,Feuil1!$H$98,Feuil1!$H$100:$H$109)</c:f>
              <c:numCache>
                <c:formatCode>General</c:formatCode>
                <c:ptCount val="17"/>
                <c:pt idx="0">
                  <c:v>19.8</c:v>
                </c:pt>
                <c:pt idx="1">
                  <c:v>5.3</c:v>
                </c:pt>
                <c:pt idx="2">
                  <c:v>7</c:v>
                </c:pt>
                <c:pt idx="3">
                  <c:v>22.1</c:v>
                </c:pt>
                <c:pt idx="4">
                  <c:v>12.9</c:v>
                </c:pt>
                <c:pt idx="5">
                  <c:v>12.5</c:v>
                </c:pt>
                <c:pt idx="6">
                  <c:v>6.9</c:v>
                </c:pt>
                <c:pt idx="7">
                  <c:v>48.8</c:v>
                </c:pt>
                <c:pt idx="8">
                  <c:v>26.96</c:v>
                </c:pt>
                <c:pt idx="9">
                  <c:v>30.02</c:v>
                </c:pt>
                <c:pt idx="10">
                  <c:v>43.06</c:v>
                </c:pt>
                <c:pt idx="11">
                  <c:v>13.03</c:v>
                </c:pt>
                <c:pt idx="12">
                  <c:v>18.989999999999998</c:v>
                </c:pt>
                <c:pt idx="13">
                  <c:v>52.9</c:v>
                </c:pt>
                <c:pt idx="14">
                  <c:v>16.3</c:v>
                </c:pt>
                <c:pt idx="15">
                  <c:v>16.78</c:v>
                </c:pt>
                <c:pt idx="16">
                  <c:v>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19-4B3C-BE9A-28B5E20A1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744704"/>
        <c:axId val="108746624"/>
      </c:scatterChart>
      <c:valAx>
        <c:axId val="108744704"/>
        <c:scaling>
          <c:orientation val="minMax"/>
          <c:max val="90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Quantité</a:t>
                </a:r>
                <a:r>
                  <a:rPr lang="fr-FR" baseline="0"/>
                  <a:t> dans le chalut sélectif (kg)</a:t>
                </a:r>
                <a:endParaRPr lang="fr-FR"/>
              </a:p>
            </c:rich>
          </c:tx>
          <c:layout>
            <c:manualLayout>
              <c:xMode val="edge"/>
              <c:yMode val="edge"/>
              <c:x val="0.34569263331193018"/>
              <c:y val="0.9204889646569696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8746624"/>
        <c:crosses val="autoZero"/>
        <c:crossBetween val="midCat"/>
        <c:majorUnit val="10"/>
      </c:valAx>
      <c:valAx>
        <c:axId val="108746624"/>
        <c:scaling>
          <c:orientation val="minMax"/>
          <c:max val="9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Quantité</a:t>
                </a:r>
                <a:r>
                  <a:rPr lang="fr-FR" baseline="0"/>
                  <a:t> dans le chalut standard (kg)</a:t>
                </a:r>
                <a:endParaRPr lang="fr-F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8744704"/>
        <c:crosses val="autoZero"/>
        <c:crossBetween val="midCat"/>
        <c:majorUnit val="10"/>
      </c:valAx>
    </c:plotArea>
    <c:legend>
      <c:legendPos val="r"/>
      <c:layout>
        <c:manualLayout>
          <c:xMode val="edge"/>
          <c:yMode val="edge"/>
          <c:x val="0.81401297405357809"/>
          <c:y val="0.36295757209426466"/>
          <c:w val="0.18391337947636774"/>
          <c:h val="0.14118916709438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0.10702</cdr:x>
      <cdr:y>0.17923</cdr:y>
    </cdr:from>
    <cdr:to>
      <cdr:x>0.80797</cdr:x>
      <cdr:y>0.85202</cdr:y>
    </cdr:to>
    <cdr:sp macro="" textlink="">
      <cdr:nvSpPr>
        <cdr:cNvPr id="3" name="Connecteur droit 2"/>
        <cdr:cNvSpPr/>
      </cdr:nvSpPr>
      <cdr:spPr>
        <a:xfrm xmlns:a="http://schemas.openxmlformats.org/drawingml/2006/main" flipV="1">
          <a:off x="571499" y="619123"/>
          <a:ext cx="3743325" cy="2324101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0.55409</cdr:x>
      <cdr:y>0.69726</cdr:y>
    </cdr:from>
    <cdr:to>
      <cdr:x>0.80142</cdr:x>
      <cdr:y>0.8368</cdr:y>
    </cdr:to>
    <cdr:sp macro="" textlink="">
      <cdr:nvSpPr>
        <cdr:cNvPr id="4" name="ZoneTexte 3"/>
        <cdr:cNvSpPr txBox="1"/>
      </cdr:nvSpPr>
      <cdr:spPr>
        <a:xfrm xmlns:a="http://schemas.openxmlformats.org/drawingml/2006/main">
          <a:off x="2959054" y="2408619"/>
          <a:ext cx="1320829" cy="482027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tx1"/>
          </a:solidFill>
        </a:ln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fr-FR" sz="1200" b="1"/>
            <a:t>Augmentation dans le selectif</a:t>
          </a:r>
        </a:p>
      </cdr:txBody>
    </cdr:sp>
  </cdr:relSizeAnchor>
  <cdr:relSizeAnchor xmlns:cdr="http://schemas.openxmlformats.org/drawingml/2006/chartDrawing">
    <cdr:from>
      <cdr:x>0</cdr:x>
      <cdr:y>0</cdr:y>
    </cdr:from>
    <cdr:to>
      <cdr:x>0.00456</cdr:x>
      <cdr:y>0.00744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24386" cy="24386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</cdr:x>
      <cdr:y>0</cdr:y>
    </cdr:from>
    <cdr:to>
      <cdr:x>0.00456</cdr:x>
      <cdr:y>0.00744</cdr:y>
    </cdr:to>
    <cdr:pic>
      <cdr:nvPicPr>
        <cdr:cNvPr id="6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24386" cy="24386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</cdr:x>
      <cdr:y>0</cdr:y>
    </cdr:from>
    <cdr:to>
      <cdr:x>0.00456</cdr:x>
      <cdr:y>0.00744</cdr:y>
    </cdr:to>
    <cdr:pic>
      <cdr:nvPicPr>
        <cdr:cNvPr id="7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24386" cy="24386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0.11271</cdr:x>
      <cdr:y>0.1871</cdr:y>
    </cdr:from>
    <cdr:to>
      <cdr:x>0.36004</cdr:x>
      <cdr:y>0.32663</cdr:y>
    </cdr:to>
    <cdr:sp macro="" textlink="">
      <cdr:nvSpPr>
        <cdr:cNvPr id="8" name="ZoneTexte 1"/>
        <cdr:cNvSpPr txBox="1"/>
      </cdr:nvSpPr>
      <cdr:spPr>
        <a:xfrm xmlns:a="http://schemas.openxmlformats.org/drawingml/2006/main">
          <a:off x="601909" y="646313"/>
          <a:ext cx="1320828" cy="481993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>
          <a:solidFill>
            <a:sysClr val="windowText" lastClr="000000"/>
          </a:solidFill>
        </a:ln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fr-FR" sz="1200" b="1"/>
            <a:t>Augmentation dans le standard</a:t>
          </a: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26E5-FD7B-497A-8A14-771A4BC3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Quiterie SOURGET</cp:lastModifiedBy>
  <cp:revision>3</cp:revision>
  <cp:lastPrinted>2018-10-30T10:32:00Z</cp:lastPrinted>
  <dcterms:created xsi:type="dcterms:W3CDTF">2022-04-11T08:33:00Z</dcterms:created>
  <dcterms:modified xsi:type="dcterms:W3CDTF">2022-04-11T08:33:00Z</dcterms:modified>
</cp:coreProperties>
</file>