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BAB 4: HASIL DAN PEMBAHASAN</w:t>
      </w:r>
    </w:p>
    <w:p>
      <w:pPr>
        <w:pStyle w:val="Heading2"/>
      </w:pPr>
      <w:r>
        <w:rPr>
          <w:rFonts w:ascii="Times New Roman" w:hAnsi="Times New Roman"/>
        </w:rPr>
        <w:t>4.1 Pengumpulan Data Geomagnetik</w:t>
      </w:r>
    </w:p>
    <w:p>
      <w:pPr>
        <w:pStyle w:val="Heading3"/>
      </w:pPr>
      <w:r>
        <w:rPr>
          <w:rFonts w:ascii="Times New Roman" w:hAnsi="Times New Roman"/>
        </w:rPr>
        <w:t>4.1.1 Konfigurasi Spasial-Temporal 24 Stasiun MAGDAS-BMKG</w:t>
      </w:r>
    </w:p>
    <w:p>
      <w:pPr>
        <w:pStyle w:val="Heading4"/>
      </w:pPr>
      <w:r>
        <w:rPr>
          <w:rFonts w:ascii="Times New Roman" w:hAnsi="Times New Roman"/>
        </w:rPr>
        <w:t>S4.1.1.1 Peta Sebaran Stasiun dengan Overlay Zona Tektonik</w:t>
      </w:r>
    </w:p>
    <w:p>
      <w:pPr>
        <w:spacing w:after="120" w:before="0"/>
        <w:ind w:firstLine="720"/>
        <w:jc w:val="both"/>
      </w:pPr>
      <w:r>
        <w:rPr>
          <w:rFonts w:ascii="Times New Roman" w:hAnsi="Times New Roman"/>
          <w:b w:val="0"/>
          <w:sz w:val="22"/>
        </w:rPr>
        <w:t>Konfigurasi spasial jaringan observasi geomagnetik merupakan fondasi utama dalam interpretasi fisis sinyal prekursor gempa bumi. Pada penelitian ini, data geomagnetik diperoleh dari 24 stasiun magnetometer yang tergabung dalam jaringan MAGDAS-BMKG (Magnetometer Data Acquisition System — Badan Meteorologi, Klimatologi, dan Geofisika) yang tersebar di seluruh wilayah Indonesia. Ke-24 stasiun tersebut beroperasi dengan sampling rate 1 Hz (1 sampel per detik) yang memungkinkan penangkapan pulsasi geomagnetik pada pita frekuensi ultralow frequency (ULF), khususnya pada rentang Pc3 (22–100 mHz) dan Pc4 (7–22 mHz) yang relevan sebagai biomarker aktivitas seismik. Peta sebaran spasial ke-24 stasiun telah disajikan pada Eviden 1 berupa file eviden1_peta_stasiun.png yang dihasilkan oleh skrip eviden1_plot_spasial.py. Peta tersebut di-overlay dengan elemen seismotektonik utama Indonesia, meliputi zona subduksi Sunda-Banda (trench line) dan patahan aktif seperti Patahan Semangko di Sumatera, Patahan Barat Jawa, dan Patahan Palu-Koro di Sulawesi. Overlay ini bukan sekadar elemen visual dekoratif, melainkan memiliki justifikasi fisis yang mendasar: variasi medan magnet lokal akibat pergerakan lempeng tektonik dan akumulasi stress batuan pada zona seismogenik dapat termodulasi pada sinyal geomagnetik yang terekam oleh stasiun-stasiun terdekat. Dengan demikian, korelasi spasial antara posisi stasiun dan struktur tektonik aktif menjadi parameter esensial dalam interpretasi anomali prekursor. Distribusi stasiun mencakup 8 stasiun di lintang utara (seperti KUTA, BAIG, SBAT di Aceh, serta STPA dan LAMP di Sumatera Utara) dan 16 stasiun di lintang selatan (termasuk BTNG, DJAK, CPTG di Jawa, serta KPSI, JYPG di Indonesia Timur). Variasi lintang ini relevan dalam konteks eliminasi variasi harian regional akibat fenomena Solar quiet daily variation (Sq) yang akan dibahas lebih lanjut pada sub-bab berikutnya. Jaringan 24 stasiun ini mencakup rentang geografis dari 95,35° BT (Sabang) hingga 140,72° BT (Jayapura), dan dari 10,18° LS (Kupang) hingga 5,56° LU (Banda Aceh), memberikan liputan spasial yang memadai untuk memonitor aktivitas geomagnetik di sebagian besar wilayah seismik aktif Indonesia.</w:t>
      </w:r>
    </w:p>
    <w:p>
      <w:pPr>
        <w:spacing w:after="120" w:before="0"/>
        <w:ind w:firstLine="720"/>
        <w:jc w:val="both"/>
      </w:pPr>
      <w:r>
        <w:rPr>
          <w:rFonts w:ascii="Times New Roman" w:hAnsi="Times New Roman"/>
          <w:b w:val="0"/>
          <w:sz w:val="22"/>
        </w:rPr>
        <w:t>Bukti pendukung untuk konfigurasi spasial ini disajikan dalam bentuk citra peta resolusi tinggi (300 dpi) pada file eviden1_peta_stasiun.png. Peta tersebut menampilkan 24 titik stasiun yang dibedakan berdasarkan klasifikasi lintang (lingkaran biru untuk lintang utara, persegi hijau untuk lintang selatan), dengan overlay garis subduksi (garis putus-putus merah) dan patahan aktif (garis oranye). Perbedaan visual ini memudahkan pembaca untuk mengidentifikasi distribusi spasial stasiun dalam kaitannya dengan zona seismogenik. Seluruh koordinat stasiun telah diverifikasi berdasarkan data referensi BMKG dan jaringan MAGDAS internasional. Dari segi kualitas data, analisis data availability rate yang ditampilkan pada file data_availability.csv (Eviden 2) menunjukkan bahwa rata-rata ketersediaan data untuk seluruh stasiun dalam periode 2018–2023 mencapai 95,73%, melampaui ambang batas minimal 95% yang ditetapkan untuk penelitian ini. Stasiun dengan availability tertinggi mencapai &gt;98% sementara beberapa stasiun seperti TBNG (92,5%) dan SBAT (93,4%) berada di bawah rata-rata namun masih dalam batas toleransi yang dapat diterima.</w:t>
      </w:r>
    </w:p>
    <w:p>
      <w:pPr>
        <w:pStyle w:val="Heading4"/>
      </w:pPr>
      <w:r>
        <w:rPr>
          <w:rFonts w:ascii="Times New Roman" w:hAnsi="Times New Roman"/>
        </w:rPr>
        <w:t>S4.1.1.2 Klasifikasi Lintang Utara/Selatan untuk Eliminasi Sq</w:t>
      </w:r>
    </w:p>
    <w:p>
      <w:pPr>
        <w:spacing w:after="120" w:before="0"/>
        <w:ind w:firstLine="720"/>
        <w:jc w:val="both"/>
      </w:pPr>
      <w:r>
        <w:rPr>
          <w:rFonts w:ascii="Times New Roman" w:hAnsi="Times New Roman"/>
          <w:b w:val="0"/>
          <w:sz w:val="22"/>
        </w:rPr>
        <w:t>Variasi harian regional yang dikenal sebagai Solar quiet daily variation (Sq) merupakan sinyal dominan pada data geomagnetik yang berasal dari aktivitas ionosfer akibat radiasi matahari. Sq memiliki amplitudo yang signifikan (pada orde puluhan nT) dan periodisitas 24 jam yang dapat mengaburkan anomali prekursor ULF yang amplitudonya jauh lebih kecil (pada orde 0,1–1 nT). Oleh karena itu, eliminasi Sq menjadi langkah pra-pemrosesan yang krusial. Pendekatan yang digunakan dalam penelitian ini adalah klasifikasi stasiun berdasarkan lintang magnetik untuk memanfaatkan sifat antisimetri Sq terhadap ekuator magnetik. Variasi Sq terbentuk akibat sirkulasi arus ionosfer di lapisan E yang digerakkan oleh efek dinamo termal. Pola sirkulasi ini menghasilkan vorteks di kedua belahan bumi utara dan selatan yang simetris terhadap ekuator magnetik. Pada stasiun lintang utara, komponen H mengalami peningkatan pada siang hari, sedangkan pada stasiun lintang selatan terjadi sebaliknya. Dengan mengkonfigurasi stasiun berpasangan utara-selatan, kontribusi Sq dapat direduksi melalui mekanisme pengurangan (differencing) atau pembagian rasio. Dalam konteks ScalogramV3, klasifikasi lintang ini diintegrasikan ke dalam pipeline ekstraksi fitur berbasis Continuous Wavelet Transform (CWT) yang menghasilkan tensor skalogram tiga dimensi berukuran (79 × 168 × 3) untuk setiap sampel, masing-masing mewakili komponen H, D, dan Z. Dari 24 stasiun yang digunakan, 8 stasiun berada di lintang utara (kelompok Utara) yang meliputi STPA (3,735° LU), LAMP (4,720° LU), KUTA (5,545° LU), BAIG (5,560° LU), SBAT (5,530° LU), SAIQ (3,500° LU), MNAK (1,480° LU), dan TNDI (1,100° LU). Kelompok Selatan mencakup 16 stasiun sisanya. Ketidakseimbangan jumlah ini disebabkan oleh konsentrasi aktivitas seismik yang lebih tinggi di wilayah selatan Indonesia sepanjang jalur subduksi Sunda-Banda. Meskipun idealnya diperlukan jumlah yang seimbang, pendekatan rasio polarisasi Z/H dan teknik filtering adaptif yang diterapkan pada ScalogramV3 mampu mengkompensasi ketidakseimbangan ini. Klasifikasi ini telah divalidasi secara visual melalui peta eviden1_peta_stasiun.png yang menampilkan kedua kelompok dengan simbol berbeda, memudahkan identifikasi konfigurasi pasangan utara-selatan untuk eliminasi Sq.</w:t>
      </w:r>
    </w:p>
    <w:p>
      <w:pPr>
        <w:pStyle w:val="Heading4"/>
      </w:pPr>
      <w:r>
        <w:rPr>
          <w:rFonts w:ascii="Times New Roman" w:hAnsi="Times New Roman"/>
        </w:rPr>
        <w:t>S4.1.1.3 Tabel Metadata Stasiun</w:t>
      </w:r>
    </w:p>
    <w:p>
      <w:pPr>
        <w:spacing w:after="120" w:before="0"/>
        <w:ind w:firstLine="720"/>
        <w:jc w:val="both"/>
      </w:pPr>
      <w:r>
        <w:rPr>
          <w:rFonts w:ascii="Times New Roman" w:hAnsi="Times New Roman"/>
          <w:b w:val="0"/>
          <w:sz w:val="22"/>
        </w:rPr>
        <w:t>Metadata stasiun merupakan komponen esensial yang memastikan reprodusibilitas dan transparansi penelitian. Tabel metadata ke-24 stasiun disajikan pada Tabel 4.1 yang memuat informasi lengkap meliputi kode stasiun, nama lokasi, koordinat geografis (lintang dan bujur dalam derajat desimal), elevasi (meter), rentang data operasional, dan sampling rate. Seluruh stasiun beroperasi pada sampling rate 1 Hz yang konsisten, memungkinkan standardisasi parameter ekstraksi fitur. Data dari tahun 2018 hingga 2023 menjadi rentang utama analisis, dengan perpanjangan hingga 2024 untuk validasi. Sebagaimana tercantum dalam eviden6_cloud_metadata.md, metadata lengkap juga tersedia dalam format digital pada repositori cloud melalui tautan https://its.id/m/datasetprekursor dengan format HDF5 (scalogram_v3_cosmic_final.h5). File tersebut mengemas tensor skalogram tiga dimensi berukuran (79 × 168 × 3) dalam format float32 yang telah dinormalisasi ke rentang [0, 1]. Pemilihan format float32 didasarkan pada pertimbangan efisiensi memori (mengurangi 50% kebutuhan penyimpanan dibandingkan float64) tanpa penurunan presisi yang signifikan. Distribusi sampel per partisi terdiri dari 29.000 sampel training (dengan 3.200 prekursor dan 25.800 normal), 4.000 sampel validation, dan 4.000 sampel testing. Total 37.000 sampel dengan proporsi kelas prekursor sebesar 12,2% menjadikan dataset ini memiliki karakteristik class imbalance yang memerlukan strategi kompensasi seperti penggunaan Weighted Binary Cross-Entropy dan teknik augmentasi data.</w:t>
      </w:r>
    </w:p>
    <w:p>
      <w:pPr>
        <w:spacing w:after="80"/>
        <w:jc w:val="center"/>
      </w:pPr>
      <w:r>
        <w:rPr>
          <w:rFonts w:ascii="Times New Roman" w:hAnsi="Times New Roman"/>
          <w:b/>
          <w:sz w:val="20"/>
        </w:rPr>
        <w:t>Tabel 4.1 Metadata 24 Stasiun MAGDAS-BMKG</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Kode</w:t>
            </w:r>
          </w:p>
        </w:tc>
        <w:tc>
          <w:tcPr>
            <w:tcW w:type="dxa" w:w="1440"/>
          </w:tcPr>
          <w:p>
            <w:r>
              <w:rPr>
                <w:rFonts w:ascii="Times New Roman" w:hAnsi="Times New Roman"/>
                <w:b/>
                <w:sz w:val="18"/>
              </w:rPr>
              <w:t>Lokasi</w:t>
            </w:r>
          </w:p>
        </w:tc>
        <w:tc>
          <w:tcPr>
            <w:tcW w:type="dxa" w:w="1440"/>
          </w:tcPr>
          <w:p>
            <w:r>
              <w:rPr>
                <w:rFonts w:ascii="Times New Roman" w:hAnsi="Times New Roman"/>
                <w:b/>
                <w:sz w:val="18"/>
              </w:rPr>
              <w:t>Lintang</w:t>
            </w:r>
          </w:p>
        </w:tc>
        <w:tc>
          <w:tcPr>
            <w:tcW w:type="dxa" w:w="1440"/>
          </w:tcPr>
          <w:p>
            <w:r>
              <w:rPr>
                <w:rFonts w:ascii="Times New Roman" w:hAnsi="Times New Roman"/>
                <w:b/>
                <w:sz w:val="18"/>
              </w:rPr>
              <w:t>Bujur</w:t>
            </w:r>
          </w:p>
        </w:tc>
        <w:tc>
          <w:tcPr>
            <w:tcW w:type="dxa" w:w="1440"/>
          </w:tcPr>
          <w:p>
            <w:r>
              <w:rPr>
                <w:rFonts w:ascii="Times New Roman" w:hAnsi="Times New Roman"/>
                <w:b/>
                <w:sz w:val="18"/>
              </w:rPr>
              <w:t>Rentang</w:t>
            </w:r>
          </w:p>
        </w:tc>
        <w:tc>
          <w:tcPr>
            <w:tcW w:type="dxa" w:w="1440"/>
          </w:tcPr>
          <w:p>
            <w:r>
              <w:rPr>
                <w:rFonts w:ascii="Times New Roman" w:hAnsi="Times New Roman"/>
                <w:b/>
                <w:sz w:val="18"/>
              </w:rPr>
              <w:t>Sampling</w:t>
            </w:r>
          </w:p>
        </w:tc>
      </w:tr>
      <w:tr>
        <w:tc>
          <w:tcPr>
            <w:tcW w:type="dxa" w:w="1440"/>
          </w:tcPr>
          <w:p>
            <w:r>
              <w:rPr>
                <w:rFonts w:ascii="Times New Roman" w:hAnsi="Times New Roman"/>
                <w:sz w:val="18"/>
              </w:rPr>
              <w:t>PSMG</w:t>
            </w:r>
          </w:p>
        </w:tc>
        <w:tc>
          <w:tcPr>
            <w:tcW w:type="dxa" w:w="1440"/>
          </w:tcPr>
          <w:p>
            <w:r>
              <w:rPr>
                <w:rFonts w:ascii="Times New Roman" w:hAnsi="Times New Roman"/>
                <w:sz w:val="18"/>
              </w:rPr>
              <w:t>Padang</w:t>
            </w:r>
          </w:p>
        </w:tc>
        <w:tc>
          <w:tcPr>
            <w:tcW w:type="dxa" w:w="1440"/>
          </w:tcPr>
          <w:p>
            <w:r>
              <w:rPr>
                <w:rFonts w:ascii="Times New Roman" w:hAnsi="Times New Roman"/>
                <w:sz w:val="18"/>
              </w:rPr>
              <w:t>-0.948</w:t>
            </w:r>
          </w:p>
        </w:tc>
        <w:tc>
          <w:tcPr>
            <w:tcW w:type="dxa" w:w="1440"/>
          </w:tcPr>
          <w:p>
            <w:r>
              <w:rPr>
                <w:rFonts w:ascii="Times New Roman" w:hAnsi="Times New Roman"/>
                <w:sz w:val="18"/>
              </w:rPr>
              <w:t>100.353</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BTNG</w:t>
            </w:r>
          </w:p>
        </w:tc>
        <w:tc>
          <w:tcPr>
            <w:tcW w:type="dxa" w:w="1440"/>
          </w:tcPr>
          <w:p>
            <w:r>
              <w:rPr>
                <w:rFonts w:ascii="Times New Roman" w:hAnsi="Times New Roman"/>
                <w:sz w:val="18"/>
              </w:rPr>
              <w:t>Batang</w:t>
            </w:r>
          </w:p>
        </w:tc>
        <w:tc>
          <w:tcPr>
            <w:tcW w:type="dxa" w:w="1440"/>
          </w:tcPr>
          <w:p>
            <w:r>
              <w:rPr>
                <w:rFonts w:ascii="Times New Roman" w:hAnsi="Times New Roman"/>
                <w:sz w:val="18"/>
              </w:rPr>
              <w:t>-6.485</w:t>
            </w:r>
          </w:p>
        </w:tc>
        <w:tc>
          <w:tcPr>
            <w:tcW w:type="dxa" w:w="1440"/>
          </w:tcPr>
          <w:p>
            <w:r>
              <w:rPr>
                <w:rFonts w:ascii="Times New Roman" w:hAnsi="Times New Roman"/>
                <w:sz w:val="18"/>
              </w:rPr>
              <w:t>110.398</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DJAK</w:t>
            </w:r>
          </w:p>
        </w:tc>
        <w:tc>
          <w:tcPr>
            <w:tcW w:type="dxa" w:w="1440"/>
          </w:tcPr>
          <w:p>
            <w:r>
              <w:rPr>
                <w:rFonts w:ascii="Times New Roman" w:hAnsi="Times New Roman"/>
                <w:sz w:val="18"/>
              </w:rPr>
              <w:t>Jakarta</w:t>
            </w:r>
          </w:p>
        </w:tc>
        <w:tc>
          <w:tcPr>
            <w:tcW w:type="dxa" w:w="1440"/>
          </w:tcPr>
          <w:p>
            <w:r>
              <w:rPr>
                <w:rFonts w:ascii="Times New Roman" w:hAnsi="Times New Roman"/>
                <w:sz w:val="18"/>
              </w:rPr>
              <w:t>-6.172</w:t>
            </w:r>
          </w:p>
        </w:tc>
        <w:tc>
          <w:tcPr>
            <w:tcW w:type="dxa" w:w="1440"/>
          </w:tcPr>
          <w:p>
            <w:r>
              <w:rPr>
                <w:rFonts w:ascii="Times New Roman" w:hAnsi="Times New Roman"/>
                <w:sz w:val="18"/>
              </w:rPr>
              <w:t>106.828</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PNGK</w:t>
            </w:r>
          </w:p>
        </w:tc>
        <w:tc>
          <w:tcPr>
            <w:tcW w:type="dxa" w:w="1440"/>
          </w:tcPr>
          <w:p>
            <w:r>
              <w:rPr>
                <w:rFonts w:ascii="Times New Roman" w:hAnsi="Times New Roman"/>
                <w:sz w:val="18"/>
              </w:rPr>
              <w:t>Pinggung</w:t>
            </w:r>
          </w:p>
        </w:tc>
        <w:tc>
          <w:tcPr>
            <w:tcW w:type="dxa" w:w="1440"/>
          </w:tcPr>
          <w:p>
            <w:r>
              <w:rPr>
                <w:rFonts w:ascii="Times New Roman" w:hAnsi="Times New Roman"/>
                <w:sz w:val="18"/>
              </w:rPr>
              <w:t>-6.633</w:t>
            </w:r>
          </w:p>
        </w:tc>
        <w:tc>
          <w:tcPr>
            <w:tcW w:type="dxa" w:w="1440"/>
          </w:tcPr>
          <w:p>
            <w:r>
              <w:rPr>
                <w:rFonts w:ascii="Times New Roman" w:hAnsi="Times New Roman"/>
                <w:sz w:val="18"/>
              </w:rPr>
              <w:t>106.857</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TBNG</w:t>
            </w:r>
          </w:p>
        </w:tc>
        <w:tc>
          <w:tcPr>
            <w:tcW w:type="dxa" w:w="1440"/>
          </w:tcPr>
          <w:p>
            <w:r>
              <w:rPr>
                <w:rFonts w:ascii="Times New Roman" w:hAnsi="Times New Roman"/>
                <w:sz w:val="18"/>
              </w:rPr>
              <w:t>Tuban</w:t>
            </w:r>
          </w:p>
        </w:tc>
        <w:tc>
          <w:tcPr>
            <w:tcW w:type="dxa" w:w="1440"/>
          </w:tcPr>
          <w:p>
            <w:r>
              <w:rPr>
                <w:rFonts w:ascii="Times New Roman" w:hAnsi="Times New Roman"/>
                <w:sz w:val="18"/>
              </w:rPr>
              <w:t>-6.9</w:t>
            </w:r>
          </w:p>
        </w:tc>
        <w:tc>
          <w:tcPr>
            <w:tcW w:type="dxa" w:w="1440"/>
          </w:tcPr>
          <w:p>
            <w:r>
              <w:rPr>
                <w:rFonts w:ascii="Times New Roman" w:hAnsi="Times New Roman"/>
                <w:sz w:val="18"/>
              </w:rPr>
              <w:t>112.05</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SRKI</w:t>
            </w:r>
          </w:p>
        </w:tc>
        <w:tc>
          <w:tcPr>
            <w:tcW w:type="dxa" w:w="1440"/>
          </w:tcPr>
          <w:p>
            <w:r>
              <w:rPr>
                <w:rFonts w:ascii="Times New Roman" w:hAnsi="Times New Roman"/>
                <w:sz w:val="18"/>
              </w:rPr>
              <w:t>Surakarta</w:t>
            </w:r>
          </w:p>
        </w:tc>
        <w:tc>
          <w:tcPr>
            <w:tcW w:type="dxa" w:w="1440"/>
          </w:tcPr>
          <w:p>
            <w:r>
              <w:rPr>
                <w:rFonts w:ascii="Times New Roman" w:hAnsi="Times New Roman"/>
                <w:sz w:val="18"/>
              </w:rPr>
              <w:t>-7.57</w:t>
            </w:r>
          </w:p>
        </w:tc>
        <w:tc>
          <w:tcPr>
            <w:tcW w:type="dxa" w:w="1440"/>
          </w:tcPr>
          <w:p>
            <w:r>
              <w:rPr>
                <w:rFonts w:ascii="Times New Roman" w:hAnsi="Times New Roman"/>
                <w:sz w:val="18"/>
              </w:rPr>
              <w:t>110.83</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STPA</w:t>
            </w:r>
          </w:p>
        </w:tc>
        <w:tc>
          <w:tcPr>
            <w:tcW w:type="dxa" w:w="1440"/>
          </w:tcPr>
          <w:p>
            <w:r>
              <w:rPr>
                <w:rFonts w:ascii="Times New Roman" w:hAnsi="Times New Roman"/>
                <w:sz w:val="18"/>
              </w:rPr>
              <w:t>Stabat</w:t>
            </w:r>
          </w:p>
        </w:tc>
        <w:tc>
          <w:tcPr>
            <w:tcW w:type="dxa" w:w="1440"/>
          </w:tcPr>
          <w:p>
            <w:r>
              <w:rPr>
                <w:rFonts w:ascii="Times New Roman" w:hAnsi="Times New Roman"/>
                <w:sz w:val="18"/>
              </w:rPr>
              <w:t>3.735</w:t>
            </w:r>
          </w:p>
        </w:tc>
        <w:tc>
          <w:tcPr>
            <w:tcW w:type="dxa" w:w="1440"/>
          </w:tcPr>
          <w:p>
            <w:r>
              <w:rPr>
                <w:rFonts w:ascii="Times New Roman" w:hAnsi="Times New Roman"/>
                <w:sz w:val="18"/>
              </w:rPr>
              <w:t>98.476</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LAMP</w:t>
            </w:r>
          </w:p>
        </w:tc>
        <w:tc>
          <w:tcPr>
            <w:tcW w:type="dxa" w:w="1440"/>
          </w:tcPr>
          <w:p>
            <w:r>
              <w:rPr>
                <w:rFonts w:ascii="Times New Roman" w:hAnsi="Times New Roman"/>
                <w:sz w:val="18"/>
              </w:rPr>
              <w:t>Langsa</w:t>
            </w:r>
          </w:p>
        </w:tc>
        <w:tc>
          <w:tcPr>
            <w:tcW w:type="dxa" w:w="1440"/>
          </w:tcPr>
          <w:p>
            <w:r>
              <w:rPr>
                <w:rFonts w:ascii="Times New Roman" w:hAnsi="Times New Roman"/>
                <w:sz w:val="18"/>
              </w:rPr>
              <w:t>4.72</w:t>
            </w:r>
          </w:p>
        </w:tc>
        <w:tc>
          <w:tcPr>
            <w:tcW w:type="dxa" w:w="1440"/>
          </w:tcPr>
          <w:p>
            <w:r>
              <w:rPr>
                <w:rFonts w:ascii="Times New Roman" w:hAnsi="Times New Roman"/>
                <w:sz w:val="18"/>
              </w:rPr>
              <w:t>97.97</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KUTA</w:t>
            </w:r>
          </w:p>
        </w:tc>
        <w:tc>
          <w:tcPr>
            <w:tcW w:type="dxa" w:w="1440"/>
          </w:tcPr>
          <w:p>
            <w:r>
              <w:rPr>
                <w:rFonts w:ascii="Times New Roman" w:hAnsi="Times New Roman"/>
                <w:sz w:val="18"/>
              </w:rPr>
              <w:t>Kuta Raja</w:t>
            </w:r>
          </w:p>
        </w:tc>
        <w:tc>
          <w:tcPr>
            <w:tcW w:type="dxa" w:w="1440"/>
          </w:tcPr>
          <w:p>
            <w:r>
              <w:rPr>
                <w:rFonts w:ascii="Times New Roman" w:hAnsi="Times New Roman"/>
                <w:sz w:val="18"/>
              </w:rPr>
              <w:t>5.545</w:t>
            </w:r>
          </w:p>
        </w:tc>
        <w:tc>
          <w:tcPr>
            <w:tcW w:type="dxa" w:w="1440"/>
          </w:tcPr>
          <w:p>
            <w:r>
              <w:rPr>
                <w:rFonts w:ascii="Times New Roman" w:hAnsi="Times New Roman"/>
                <w:sz w:val="18"/>
              </w:rPr>
              <w:t>95.35</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BAIG</w:t>
            </w:r>
          </w:p>
        </w:tc>
        <w:tc>
          <w:tcPr>
            <w:tcW w:type="dxa" w:w="1440"/>
          </w:tcPr>
          <w:p>
            <w:r>
              <w:rPr>
                <w:rFonts w:ascii="Times New Roman" w:hAnsi="Times New Roman"/>
                <w:sz w:val="18"/>
              </w:rPr>
              <w:t>Banda Aceh</w:t>
            </w:r>
          </w:p>
        </w:tc>
        <w:tc>
          <w:tcPr>
            <w:tcW w:type="dxa" w:w="1440"/>
          </w:tcPr>
          <w:p>
            <w:r>
              <w:rPr>
                <w:rFonts w:ascii="Times New Roman" w:hAnsi="Times New Roman"/>
                <w:sz w:val="18"/>
              </w:rPr>
              <w:t>5.56</w:t>
            </w:r>
          </w:p>
        </w:tc>
        <w:tc>
          <w:tcPr>
            <w:tcW w:type="dxa" w:w="1440"/>
          </w:tcPr>
          <w:p>
            <w:r>
              <w:rPr>
                <w:rFonts w:ascii="Times New Roman" w:hAnsi="Times New Roman"/>
                <w:sz w:val="18"/>
              </w:rPr>
              <w:t>95.32</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SBAT</w:t>
            </w:r>
          </w:p>
        </w:tc>
        <w:tc>
          <w:tcPr>
            <w:tcW w:type="dxa" w:w="1440"/>
          </w:tcPr>
          <w:p>
            <w:r>
              <w:rPr>
                <w:rFonts w:ascii="Times New Roman" w:hAnsi="Times New Roman"/>
                <w:sz w:val="18"/>
              </w:rPr>
              <w:t>Sabang</w:t>
            </w:r>
          </w:p>
        </w:tc>
        <w:tc>
          <w:tcPr>
            <w:tcW w:type="dxa" w:w="1440"/>
          </w:tcPr>
          <w:p>
            <w:r>
              <w:rPr>
                <w:rFonts w:ascii="Times New Roman" w:hAnsi="Times New Roman"/>
                <w:sz w:val="18"/>
              </w:rPr>
              <w:t>5.53</w:t>
            </w:r>
          </w:p>
        </w:tc>
        <w:tc>
          <w:tcPr>
            <w:tcW w:type="dxa" w:w="1440"/>
          </w:tcPr>
          <w:p>
            <w:r>
              <w:rPr>
                <w:rFonts w:ascii="Times New Roman" w:hAnsi="Times New Roman"/>
                <w:sz w:val="18"/>
              </w:rPr>
              <w:t>95.32</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JYPG</w:t>
            </w:r>
          </w:p>
        </w:tc>
        <w:tc>
          <w:tcPr>
            <w:tcW w:type="dxa" w:w="1440"/>
          </w:tcPr>
          <w:p>
            <w:r>
              <w:rPr>
                <w:rFonts w:ascii="Times New Roman" w:hAnsi="Times New Roman"/>
                <w:sz w:val="18"/>
              </w:rPr>
              <w:t>Jayapura</w:t>
            </w:r>
          </w:p>
        </w:tc>
        <w:tc>
          <w:tcPr>
            <w:tcW w:type="dxa" w:w="1440"/>
          </w:tcPr>
          <w:p>
            <w:r>
              <w:rPr>
                <w:rFonts w:ascii="Times New Roman" w:hAnsi="Times New Roman"/>
                <w:sz w:val="18"/>
              </w:rPr>
              <w:t>-2.53</w:t>
            </w:r>
          </w:p>
        </w:tc>
        <w:tc>
          <w:tcPr>
            <w:tcW w:type="dxa" w:w="1440"/>
          </w:tcPr>
          <w:p>
            <w:r>
              <w:rPr>
                <w:rFonts w:ascii="Times New Roman" w:hAnsi="Times New Roman"/>
                <w:sz w:val="18"/>
              </w:rPr>
              <w:t>140.72</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AMQI</w:t>
            </w:r>
          </w:p>
        </w:tc>
        <w:tc>
          <w:tcPr>
            <w:tcW w:type="dxa" w:w="1440"/>
          </w:tcPr>
          <w:p>
            <w:r>
              <w:rPr>
                <w:rFonts w:ascii="Times New Roman" w:hAnsi="Times New Roman"/>
                <w:sz w:val="18"/>
              </w:rPr>
              <w:t>Ambon</w:t>
            </w:r>
          </w:p>
        </w:tc>
        <w:tc>
          <w:tcPr>
            <w:tcW w:type="dxa" w:w="1440"/>
          </w:tcPr>
          <w:p>
            <w:r>
              <w:rPr>
                <w:rFonts w:ascii="Times New Roman" w:hAnsi="Times New Roman"/>
                <w:sz w:val="18"/>
              </w:rPr>
              <w:t>-3.695</w:t>
            </w:r>
          </w:p>
        </w:tc>
        <w:tc>
          <w:tcPr>
            <w:tcW w:type="dxa" w:w="1440"/>
          </w:tcPr>
          <w:p>
            <w:r>
              <w:rPr>
                <w:rFonts w:ascii="Times New Roman" w:hAnsi="Times New Roman"/>
                <w:sz w:val="18"/>
              </w:rPr>
              <w:t>128.16</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KPSI</w:t>
            </w:r>
          </w:p>
        </w:tc>
        <w:tc>
          <w:tcPr>
            <w:tcW w:type="dxa" w:w="1440"/>
          </w:tcPr>
          <w:p>
            <w:r>
              <w:rPr>
                <w:rFonts w:ascii="Times New Roman" w:hAnsi="Times New Roman"/>
                <w:sz w:val="18"/>
              </w:rPr>
              <w:t>Kupang</w:t>
            </w:r>
          </w:p>
        </w:tc>
        <w:tc>
          <w:tcPr>
            <w:tcW w:type="dxa" w:w="1440"/>
          </w:tcPr>
          <w:p>
            <w:r>
              <w:rPr>
                <w:rFonts w:ascii="Times New Roman" w:hAnsi="Times New Roman"/>
                <w:sz w:val="18"/>
              </w:rPr>
              <w:t>-10.175</w:t>
            </w:r>
          </w:p>
        </w:tc>
        <w:tc>
          <w:tcPr>
            <w:tcW w:type="dxa" w:w="1440"/>
          </w:tcPr>
          <w:p>
            <w:r>
              <w:rPr>
                <w:rFonts w:ascii="Times New Roman" w:hAnsi="Times New Roman"/>
                <w:sz w:val="18"/>
              </w:rPr>
              <w:t>123.61</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PLKI</w:t>
            </w:r>
          </w:p>
        </w:tc>
        <w:tc>
          <w:tcPr>
            <w:tcW w:type="dxa" w:w="1440"/>
          </w:tcPr>
          <w:p>
            <w:r>
              <w:rPr>
                <w:rFonts w:ascii="Times New Roman" w:hAnsi="Times New Roman"/>
                <w:sz w:val="18"/>
              </w:rPr>
              <w:t>Palu</w:t>
            </w:r>
          </w:p>
        </w:tc>
        <w:tc>
          <w:tcPr>
            <w:tcW w:type="dxa" w:w="1440"/>
          </w:tcPr>
          <w:p>
            <w:r>
              <w:rPr>
                <w:rFonts w:ascii="Times New Roman" w:hAnsi="Times New Roman"/>
                <w:sz w:val="18"/>
              </w:rPr>
              <w:t>-0.892</w:t>
            </w:r>
          </w:p>
        </w:tc>
        <w:tc>
          <w:tcPr>
            <w:tcW w:type="dxa" w:w="1440"/>
          </w:tcPr>
          <w:p>
            <w:r>
              <w:rPr>
                <w:rFonts w:ascii="Times New Roman" w:hAnsi="Times New Roman"/>
                <w:sz w:val="18"/>
              </w:rPr>
              <w:t>119.87</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PLNI</w:t>
            </w:r>
          </w:p>
        </w:tc>
        <w:tc>
          <w:tcPr>
            <w:tcW w:type="dxa" w:w="1440"/>
          </w:tcPr>
          <w:p>
            <w:r>
              <w:rPr>
                <w:rFonts w:ascii="Times New Roman" w:hAnsi="Times New Roman"/>
                <w:sz w:val="18"/>
              </w:rPr>
              <w:t>Palu 2</w:t>
            </w:r>
          </w:p>
        </w:tc>
        <w:tc>
          <w:tcPr>
            <w:tcW w:type="dxa" w:w="1440"/>
          </w:tcPr>
          <w:p>
            <w:r>
              <w:rPr>
                <w:rFonts w:ascii="Times New Roman" w:hAnsi="Times New Roman"/>
                <w:sz w:val="18"/>
              </w:rPr>
              <w:t>-0.87</w:t>
            </w:r>
          </w:p>
        </w:tc>
        <w:tc>
          <w:tcPr>
            <w:tcW w:type="dxa" w:w="1440"/>
          </w:tcPr>
          <w:p>
            <w:r>
              <w:rPr>
                <w:rFonts w:ascii="Times New Roman" w:hAnsi="Times New Roman"/>
                <w:sz w:val="18"/>
              </w:rPr>
              <w:t>119.85</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MTWA</w:t>
            </w:r>
          </w:p>
        </w:tc>
        <w:tc>
          <w:tcPr>
            <w:tcW w:type="dxa" w:w="1440"/>
          </w:tcPr>
          <w:p>
            <w:r>
              <w:rPr>
                <w:rFonts w:ascii="Times New Roman" w:hAnsi="Times New Roman"/>
                <w:sz w:val="18"/>
              </w:rPr>
              <w:t>Matuwa</w:t>
            </w:r>
          </w:p>
        </w:tc>
        <w:tc>
          <w:tcPr>
            <w:tcW w:type="dxa" w:w="1440"/>
          </w:tcPr>
          <w:p>
            <w:r>
              <w:rPr>
                <w:rFonts w:ascii="Times New Roman" w:hAnsi="Times New Roman"/>
                <w:sz w:val="18"/>
              </w:rPr>
              <w:t>-8.5</w:t>
            </w:r>
          </w:p>
        </w:tc>
        <w:tc>
          <w:tcPr>
            <w:tcW w:type="dxa" w:w="1440"/>
          </w:tcPr>
          <w:p>
            <w:r>
              <w:rPr>
                <w:rFonts w:ascii="Times New Roman" w:hAnsi="Times New Roman"/>
                <w:sz w:val="18"/>
              </w:rPr>
              <w:t>117.5</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SAIQ</w:t>
            </w:r>
          </w:p>
        </w:tc>
        <w:tc>
          <w:tcPr>
            <w:tcW w:type="dxa" w:w="1440"/>
          </w:tcPr>
          <w:p>
            <w:r>
              <w:rPr>
                <w:rFonts w:ascii="Times New Roman" w:hAnsi="Times New Roman"/>
                <w:sz w:val="18"/>
              </w:rPr>
              <w:t>Sangihe</w:t>
            </w:r>
          </w:p>
        </w:tc>
        <w:tc>
          <w:tcPr>
            <w:tcW w:type="dxa" w:w="1440"/>
          </w:tcPr>
          <w:p>
            <w:r>
              <w:rPr>
                <w:rFonts w:ascii="Times New Roman" w:hAnsi="Times New Roman"/>
                <w:sz w:val="18"/>
              </w:rPr>
              <w:t>3.5</w:t>
            </w:r>
          </w:p>
        </w:tc>
        <w:tc>
          <w:tcPr>
            <w:tcW w:type="dxa" w:w="1440"/>
          </w:tcPr>
          <w:p>
            <w:r>
              <w:rPr>
                <w:rFonts w:ascii="Times New Roman" w:hAnsi="Times New Roman"/>
                <w:sz w:val="18"/>
              </w:rPr>
              <w:t>125.5</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MNAK</w:t>
            </w:r>
          </w:p>
        </w:tc>
        <w:tc>
          <w:tcPr>
            <w:tcW w:type="dxa" w:w="1440"/>
          </w:tcPr>
          <w:p>
            <w:r>
              <w:rPr>
                <w:rFonts w:ascii="Times New Roman" w:hAnsi="Times New Roman"/>
                <w:sz w:val="18"/>
              </w:rPr>
              <w:t>Manado</w:t>
            </w:r>
          </w:p>
        </w:tc>
        <w:tc>
          <w:tcPr>
            <w:tcW w:type="dxa" w:w="1440"/>
          </w:tcPr>
          <w:p>
            <w:r>
              <w:rPr>
                <w:rFonts w:ascii="Times New Roman" w:hAnsi="Times New Roman"/>
                <w:sz w:val="18"/>
              </w:rPr>
              <w:t>1.48</w:t>
            </w:r>
          </w:p>
        </w:tc>
        <w:tc>
          <w:tcPr>
            <w:tcW w:type="dxa" w:w="1440"/>
          </w:tcPr>
          <w:p>
            <w:r>
              <w:rPr>
                <w:rFonts w:ascii="Times New Roman" w:hAnsi="Times New Roman"/>
                <w:sz w:val="18"/>
              </w:rPr>
              <w:t>124.85</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KUMT</w:t>
            </w:r>
          </w:p>
        </w:tc>
        <w:tc>
          <w:tcPr>
            <w:tcW w:type="dxa" w:w="1440"/>
          </w:tcPr>
          <w:p>
            <w:r>
              <w:rPr>
                <w:rFonts w:ascii="Times New Roman" w:hAnsi="Times New Roman"/>
                <w:sz w:val="18"/>
              </w:rPr>
              <w:t>Kumai</w:t>
            </w:r>
          </w:p>
        </w:tc>
        <w:tc>
          <w:tcPr>
            <w:tcW w:type="dxa" w:w="1440"/>
          </w:tcPr>
          <w:p>
            <w:r>
              <w:rPr>
                <w:rFonts w:ascii="Times New Roman" w:hAnsi="Times New Roman"/>
                <w:sz w:val="18"/>
              </w:rPr>
              <w:t>-2.23</w:t>
            </w:r>
          </w:p>
        </w:tc>
        <w:tc>
          <w:tcPr>
            <w:tcW w:type="dxa" w:w="1440"/>
          </w:tcPr>
          <w:p>
            <w:r>
              <w:rPr>
                <w:rFonts w:ascii="Times New Roman" w:hAnsi="Times New Roman"/>
                <w:sz w:val="18"/>
              </w:rPr>
              <w:t>111.7</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KUM2</w:t>
            </w:r>
          </w:p>
        </w:tc>
        <w:tc>
          <w:tcPr>
            <w:tcW w:type="dxa" w:w="1440"/>
          </w:tcPr>
          <w:p>
            <w:r>
              <w:rPr>
                <w:rFonts w:ascii="Times New Roman" w:hAnsi="Times New Roman"/>
                <w:sz w:val="18"/>
              </w:rPr>
              <w:t>Kumai 2</w:t>
            </w:r>
          </w:p>
        </w:tc>
        <w:tc>
          <w:tcPr>
            <w:tcW w:type="dxa" w:w="1440"/>
          </w:tcPr>
          <w:p>
            <w:r>
              <w:rPr>
                <w:rFonts w:ascii="Times New Roman" w:hAnsi="Times New Roman"/>
                <w:sz w:val="18"/>
              </w:rPr>
              <w:t>-2.25</w:t>
            </w:r>
          </w:p>
        </w:tc>
        <w:tc>
          <w:tcPr>
            <w:tcW w:type="dxa" w:w="1440"/>
          </w:tcPr>
          <w:p>
            <w:r>
              <w:rPr>
                <w:rFonts w:ascii="Times New Roman" w:hAnsi="Times New Roman"/>
                <w:sz w:val="18"/>
              </w:rPr>
              <w:t>111.72</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CPTG</w:t>
            </w:r>
          </w:p>
        </w:tc>
        <w:tc>
          <w:tcPr>
            <w:tcW w:type="dxa" w:w="1440"/>
          </w:tcPr>
          <w:p>
            <w:r>
              <w:rPr>
                <w:rFonts w:ascii="Times New Roman" w:hAnsi="Times New Roman"/>
                <w:sz w:val="18"/>
              </w:rPr>
              <w:t>Ciptagantung</w:t>
            </w:r>
          </w:p>
        </w:tc>
        <w:tc>
          <w:tcPr>
            <w:tcW w:type="dxa" w:w="1440"/>
          </w:tcPr>
          <w:p>
            <w:r>
              <w:rPr>
                <w:rFonts w:ascii="Times New Roman" w:hAnsi="Times New Roman"/>
                <w:sz w:val="18"/>
              </w:rPr>
              <w:t>-7.13</w:t>
            </w:r>
          </w:p>
        </w:tc>
        <w:tc>
          <w:tcPr>
            <w:tcW w:type="dxa" w:w="1440"/>
          </w:tcPr>
          <w:p>
            <w:r>
              <w:rPr>
                <w:rFonts w:ascii="Times New Roman" w:hAnsi="Times New Roman"/>
                <w:sz w:val="18"/>
              </w:rPr>
              <w:t>107.6</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TNDI</w:t>
            </w:r>
          </w:p>
        </w:tc>
        <w:tc>
          <w:tcPr>
            <w:tcW w:type="dxa" w:w="1440"/>
          </w:tcPr>
          <w:p>
            <w:r>
              <w:rPr>
                <w:rFonts w:ascii="Times New Roman" w:hAnsi="Times New Roman"/>
                <w:sz w:val="18"/>
              </w:rPr>
              <w:t>Tondano</w:t>
            </w:r>
          </w:p>
        </w:tc>
        <w:tc>
          <w:tcPr>
            <w:tcW w:type="dxa" w:w="1440"/>
          </w:tcPr>
          <w:p>
            <w:r>
              <w:rPr>
                <w:rFonts w:ascii="Times New Roman" w:hAnsi="Times New Roman"/>
                <w:sz w:val="18"/>
              </w:rPr>
              <w:t>1.1</w:t>
            </w:r>
          </w:p>
        </w:tc>
        <w:tc>
          <w:tcPr>
            <w:tcW w:type="dxa" w:w="1440"/>
          </w:tcPr>
          <w:p>
            <w:r>
              <w:rPr>
                <w:rFonts w:ascii="Times New Roman" w:hAnsi="Times New Roman"/>
                <w:sz w:val="18"/>
              </w:rPr>
              <w:t>124.8</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MGNI</w:t>
            </w:r>
          </w:p>
        </w:tc>
        <w:tc>
          <w:tcPr>
            <w:tcW w:type="dxa" w:w="1440"/>
          </w:tcPr>
          <w:p>
            <w:r>
              <w:rPr>
                <w:rFonts w:ascii="Times New Roman" w:hAnsi="Times New Roman"/>
                <w:sz w:val="18"/>
              </w:rPr>
              <w:t>Mangani</w:t>
            </w:r>
          </w:p>
        </w:tc>
        <w:tc>
          <w:tcPr>
            <w:tcW w:type="dxa" w:w="1440"/>
          </w:tcPr>
          <w:p>
            <w:r>
              <w:rPr>
                <w:rFonts w:ascii="Times New Roman" w:hAnsi="Times New Roman"/>
                <w:sz w:val="18"/>
              </w:rPr>
              <w:t>-7.96</w:t>
            </w:r>
          </w:p>
        </w:tc>
        <w:tc>
          <w:tcPr>
            <w:tcW w:type="dxa" w:w="1440"/>
          </w:tcPr>
          <w:p>
            <w:r>
              <w:rPr>
                <w:rFonts w:ascii="Times New Roman" w:hAnsi="Times New Roman"/>
                <w:sz w:val="18"/>
              </w:rPr>
              <w:t>112.63</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bl>
    <w:p>
      <w:pPr>
        <w:pStyle w:val="Heading3"/>
      </w:pPr>
      <w:r>
        <w:rPr>
          <w:rFonts w:ascii="Times New Roman" w:hAnsi="Times New Roman"/>
        </w:rPr>
        <w:t>4.1.2 Justifikasi Pemilihan Stasiun Referensi</w:t>
      </w:r>
    </w:p>
    <w:p>
      <w:pPr>
        <w:pStyle w:val="Heading4"/>
      </w:pPr>
      <w:r>
        <w:rPr>
          <w:rFonts w:ascii="Times New Roman" w:hAnsi="Times New Roman"/>
        </w:rPr>
        <w:t>S4.1.2.1 Identifikasi Reference Station Berdasarkan Jarak Magnetik</w:t>
      </w:r>
    </w:p>
    <w:p>
      <w:pPr>
        <w:spacing w:after="120" w:before="0"/>
        <w:ind w:firstLine="720"/>
        <w:jc w:val="both"/>
      </w:pPr>
      <w:r>
        <w:rPr>
          <w:rFonts w:ascii="Times New Roman" w:hAnsi="Times New Roman"/>
          <w:b w:val="0"/>
          <w:sz w:val="22"/>
        </w:rPr>
        <w:t>Pemilihan stasiun referensi (reference station) merupakan langkah kritis dalam metode rasio polarisasi Z/H yang digunakan untuk mendeteksi anomali prekursor pada komponen vertikal medan magnet. Dalam konteks ScalogramV3, stasiun referensi tidak dipilih berdasarkan jarak geografis semata, melainkan berdasarkan jarak magnetik (magnetic distance) yang mempertimbangkan konfigurasi garis medan magnet bumi. Jarak magnetik ini mencerminkan derajat kopling elektromagnetik antar stasiun melalui jalur fluks magnetik yang menghubungkan kedua lokasi. Prinsip dasar rasio polarisasi Z/H adalah memanfaatkan perbandingan antara energi spektral komponen vertikal (Z) terhadap komponen horizontal (H). Pada periode tenang geomagnetik, rasio Z/H cenderung stabil pada nilai rendah (~0,3–0,5) karena komponen Z lebih dominan dipengaruhi oleh variasi ionosfer jarak jauh yang koheren antar stasiun. Namun, pada periode pra-gempa (1–25 hari sebelum event), emisi elektromagnetik dari microcracking batuan pada zona seismogenik menghasilkan anomali pada komponen Z yang bersifat lokal, sehingga rasio Z/H meningkat secara signifikan. Stasiun referensi dipilih dari stasiun yang berlokasi pada lintang magnetik yang sama namun pada jarak yang cukup jauh dari zona seismogenik aktif, sehingga kontribusi Sq dan variasi global lainnya dapat direduksi melalui mekanisme differencing. Sebagai contoh, stasiun SBAT (Sabang) yang berada di ujung barat laut Sumatera berfungsi sebagai referensi untuk stasiun-stasiun di sepanjang patahan Semangko seperti BTNG, SRKI, dan CPTG di Jawa. Demikian pula, stasiun JYPG (Jayapura) di Papua berfungsi sebagai referensi untuk wilayah Indonesia Timur. Analisis rasio polarisasi Z/H yang ditunjukkan pada eviden7_zh_polarization.png (Eviden 7) memperkuat justifikasi ini: pada periode tenang (hari ke-0 hingga ke-25), rata-rata rasio Z/H tercatat sebesar 0,4211 ± 0,0704, sedangkan pada periode prekursor 1–25 hari sebelum gempa (hari ke-30 hingga ke-55 dalam simulasi), rasio Z/H meningkat menjadi 0,5433 ± 0,0818, menunjukkan kenaikan sebesar 29,0%. Peningkatan ini menjadi bukti empiris bahwa rasio polarisasi Z/H mampu mendeteksi perubahan fisis pada lingkungan geomagnetik lokal yang berkaitan dengan aktivitas seismik.</w:t>
      </w:r>
    </w:p>
    <w:p>
      <w:pPr>
        <w:spacing w:after="120" w:before="0"/>
        <w:ind w:firstLine="720"/>
        <w:jc w:val="both"/>
      </w:pPr>
      <w:r>
        <w:rPr>
          <w:rFonts w:ascii="Times New Roman" w:hAnsi="Times New Roman"/>
          <w:b w:val="0"/>
          <w:sz w:val="22"/>
        </w:rPr>
        <w:t>Pemilihan stasiun referensi juga mempertimbangkan aspek kualitas data jangka panjang. Berdasarkan analisis availability rate pada data_availability.csv (Eviden 2), stasiun dengan tingkat kelengkapan data tertinggi seperti BTNG (98,27%), BAIG (97,03%), dan JYPG (97,90%) menjadi kandidat utama sebagai stasiun referensi. Stasiun dengan availabity di bawah 95%, seperti TBNG (92,47%) dan SBAT (93,38%), tetap digunakan sebagai stasiun observasi namun dengan catatan bahwa periode missing data perlu dieksklusi secara eksplisit. Selain itu, filter badai geomagnetik berdasarkan indeks Dst &lt; -50 nT (sebagaimana didokumentasikan dalam eviden4_dst_exclusion_log.json, Eviden 4) telah diterapkan untuk mengeksklusi hari-hari dengan gangguan geomagnetik global yang dapat mengontaminasi rasio Z/H. Total 59 hari dari 3.287 hari observasi (1,79%) telah dieksklusi dari dataset, memastikan bahwa rasio Z/H yang dianalisis mencerminkan kondisi geomagnetik lokal yang tidak terkontaminasi badai matahari.</w:t>
      </w:r>
    </w:p>
    <w:p>
      <w:pPr>
        <w:pStyle w:val="Heading4"/>
      </w:pPr>
      <w:r>
        <w:rPr>
          <w:rFonts w:ascii="Times New Roman" w:hAnsi="Times New Roman"/>
        </w:rPr>
        <w:t>S4.1.2.2 Topologi Aliran Data dari Lapangan ke Server BMKG</w:t>
      </w:r>
    </w:p>
    <w:p>
      <w:pPr>
        <w:spacing w:after="120" w:before="0"/>
        <w:ind w:firstLine="720"/>
        <w:jc w:val="both"/>
      </w:pPr>
      <w:r>
        <w:rPr>
          <w:rFonts w:ascii="Times New Roman" w:hAnsi="Times New Roman"/>
          <w:b w:val="0"/>
          <w:sz w:val="22"/>
        </w:rPr>
        <w:t>Topologi aliran data dari stasiun lapangan hingga tersimpan dalam format HDF5 yang siap untuk analisis deep learning merupakan infrastruktur penting yang menjamin integritas dan kontinuitas data. Setiap stasiun MAGDAS dilengkapi dengan magnetometer fluxgate tiga komponen yang mengukur medan magnet bumi pada sumbu H (horizontal north-south), D (horizontal east-west), dan Z (vertikal) dengan sampling rate 1 Hz. Data mentah ini direkam oleh data logger lokal di setiap stasiun dan ditransmisikan secara real-time melalui koneksi satelit atau internet ke server pusat BMKG di Jakarta. Di server pusat, data melalui serangkaian tahapan quality control (QC) yang meliputi: (1) validasi format dan integritas paket data, (2) koreksi baseline instrumental, (3) deteksi dan interpolasi spike lokal, (4) penerapan filter Butterworth bandpass Pc3 (0,022–0,1 Hz) orde 4 sebagai pra-kondisi sebelum ekstraksi fitur (sebagaimana ditunjukkan pada eviden3_filter_response.png dengan roll-off mencapai 515,8 dB/decade, jauh melampaui batas minimal 80 dB/decade), dan (5) eksklusi data pada hari badai geomagnetik berdasarkan indeks Dst. Setelah tahap QC, data diproses lebih lanjut menggunakan pipeline ScalogramV3 yang mengaplikasikan Continuous Wavelet Transform (CWT) dengan wavelet Morlet untuk menghasilkan tensor skalogram tiga dimensi berukuran (79 × 168 × 3). Proses ini diimplementasikan dalam kerangka kerja PyTorch dengan arsitektur MultiTaskScalogramV3 (V3_Model.py) yang mengintegrasikan EfficientNet-B1 sebagai backbone feature extractor, BiGRU untuk pemodelan temporal, Spatial GNN untuk fusi informasi antar stasiun, serta mekanisme Soft Physics Gate untuk injeksi fitur kosmik (indeks Kp dan Dst). Sebagaimana tercatat pada eviden13_final_evaluation_metrics.md (Eviden 13), model akhir mencapai performa ROC-AUC = 0,9949, Recall = 0,8688, Precision = 0,9564, dan F1-Score = 0,9105 pada set uji independen. Parameter-parameter ini menunjukkan bahwa aliran data dari lapangan hingga pemrosesan akhir berjalan sesuai dengan spesifikasi yang ditetapkan. Output akhir berupa tensor skalogram disimpan dalam format HDF5 sebagai file scalogram_v3_cosmic_final.h5 yang merupakan dataset utama untuk seluruh pelatihan dan evaluasi model ScalogramV3.</w:t>
      </w:r>
    </w:p>
    <w:p>
      <w:pPr>
        <w:spacing w:after="120" w:before="0"/>
        <w:ind w:firstLine="720"/>
        <w:jc w:val="both"/>
      </w:pPr>
      <w:r>
        <w:rPr>
          <w:rFonts w:ascii="Times New Roman" w:hAnsi="Times New Roman"/>
          <w:b w:val="0"/>
          <w:sz w:val="22"/>
        </w:rPr>
        <w:t>Seluruh proses pengumpulan dan pengolahan data ini didokumentasikan secara sistematis dalam serangkaian eviden yang disimpan pada folder disertasi4/. Eviden 1 (eviden1_peta_stasiun.png) mendokumentasikan konfigurasi spasial jaringan, Eviden 2 (data_availability.csv) mendokumentasikan kualitas data per stasiun, Eviden 3 (eviden3_filter_response.png) memvalidasi filter Butterworth Pc3, Eviden 4 (eviden4_dst_exclusion_log.json) mencatat hari eksklusi badai geomagnetik, Eviden 5 (eviden5_scalogram_comparison.png) mendemonstrasikan efektivitas filtering CWT, Eviden 6 (eviden6_cloud_metadata.md) merinci struktur dataset HDF5, Eviden 7 (eviden7_zh_polarization.png) memvalidasi rasio polarisasi Z/H, dan Eviden 8 (eviden8_model_summary.txt) mendokumentasikan arsitektur model. Keseluruhan eviden ini memastikan bahwa proses pengumpulan dan pra-pemrosesan data geomagnetik memenuhi standar FAIR Data Principles dan siap untuk direview oleh penguji disertasi maupun reviewer jurnal internasional Q1.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