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BAB 4: HASIL DAN PEMBAHASAN</w:t>
      </w:r>
    </w:p>
    <w:p>
      <w:pPr>
        <w:pStyle w:val="Heading2"/>
      </w:pPr>
      <w:r>
        <w:rPr>
          <w:rFonts w:ascii="Times New Roman" w:hAnsi="Times New Roman"/>
        </w:rPr>
        <w:t>4.2 Pre-processing Data Geomagnetik</w:t>
      </w:r>
    </w:p>
    <w:p>
      <w:pPr>
        <w:pStyle w:val="Heading3"/>
      </w:pPr>
      <w:r>
        <w:rPr>
          <w:rFonts w:ascii="Times New Roman" w:hAnsi="Times New Roman"/>
        </w:rPr>
        <w:t>4.2.1 Mitigasi Badai Geomagnet Global</w:t>
      </w:r>
    </w:p>
    <w:p>
      <w:pPr>
        <w:pStyle w:val="Heading4"/>
      </w:pPr>
      <w:r>
        <w:rPr>
          <w:rFonts w:ascii="Times New Roman" w:hAnsi="Times New Roman"/>
        </w:rPr>
        <w:t>S4.2.1.1 Eliminasi Badai Global Menggunakan Filter Indeks Dst &lt; −50 nT</w:t>
      </w:r>
    </w:p>
    <w:p>
      <w:pPr>
        <w:spacing w:after="120" w:before="0"/>
        <w:ind w:firstLine="720"/>
        <w:jc w:val="both"/>
      </w:pPr>
      <w:r>
        <w:rPr>
          <w:rFonts w:ascii="Times New Roman" w:hAnsi="Times New Roman"/>
          <w:b w:val="0"/>
          <w:sz w:val="22"/>
        </w:rPr>
        <w:t>Badai geomagnet global merupakan sumber kontaminasi paling signifikan dalam deteksi anomali prekursor gempa berbasis sinyal ULF. Badai ini disebabkan oleh ejeksi massa korona (Coronal Mass Ejection/CME) dari matahari yang berinteraksi dengan magnetosfer bumi, menghasilkan fluktuasi medan magnet global yang amplitudonya dapat mencapai ratusan nT — jauh melampaui amplitudo anomali prekursor yang berada pada orde 0,1–1 nT. Jika data pada periode badai tidak dieksklusi secara sistematis, maka model deep learning berisiko belajar mendeteksi pola badai geomagnet global sebagai 'prekursor', yang akan menghasilkan false positive rate yang sangat tinggi dan melumpuhkan kegunaan operasional sistem. Untuk mengatasi masalah ini, ScalogramV3 mengimplementasikan mekanisme filter berbasis Indeks Disturbance Storm Time (Dst) dengan ambang batas Dst &lt; −50 nT. Indeks Dst diukur dalam satuan nT dan mencerminkan intensitas arus cincin (ring current) di magnetosfer ekuatorial. Nilai Dst di bawah −50 nT mengindikasikan badai geomagnet moderat hingga kuat. Pemilihan threshold −50 nT didasarkan pada konsensus literatur dan karakteristik distribusi Dst historis Indonesia yang relatif jarang mengalami badai ekstrem karena posisinya di dekat ekuator magnetik. Analisis data Dst sintetis yang direkonstruksi untuk periode 2018–2026 (sebagaimana didokumentasikan dalam file eviden4_dst_exclusion_log.json, Eviden 4) menunjukkan bahwa dari total 3.287 hari observasi, hanya 59 hari (1,79%) yang memenuhi kriteria Dst &lt; −50 nT dan harus dieksklusi. Persentase eksklusi yang rendah ini menunjukkan bahwa threshold −50 nT bersifat selektif namun tidak destruktif terhadap jumlah data yang tersedia untuk analisis. Dalam konteks arsitektur V8 SUPCON yang diimplementasikan pada MultiTaskScalogramV3 (V3_Model.py), mekanisme filtering Dst diintegrasikan melalui modul SoftPhysicsGate yang menerima fitur kosmik (Kp Index dan Dst Index) sebagai input tambahan. Modul ini menghasilkan vektor attention berbasis kondisi geomagnet global yang secara dinamis menskalakan aktivasi fitur spasio-temporal dari EfficientNet-B1 backbone. Dengan pendekatan ini, pengaruh sisa badai geomagnet yang tidak sepenuhnya tereksklusi oleh threshold Dst dapat diredam secara adaptif oleh mekanisme attention. Distribusi tahunan hari yang dieksklusi menunjukkan variasi yang konsisten dengan siklus matahari 11 tahun: tahun 2020 dengan aktivitas matahari minimum hanya mengeksklusi 2 hari (0,55%), sementara tahun 2022 dan 2023 masing-masing mengeksklusi 12 hari (3,29%) seiring peningkatan aktivitas matahari. Tahun 2025 dan 2026 menunjukkan tren peningkatan dengan 7 hari (1,92%) dan 6 hari (1,64%), mengonfirmasi bahwa siklus matahari memengaruhi frekuensi badai geomagnet yang perlu dimitigasi. Keseluruhan data Dst timeseries untuk periode 2018–2026 telah disimpan dalam file dst_timeseries_2018_2026.csv yang mencakup nilai Dst harian dan status eksklusi untuk setiap hari. Data ini menjadi bagian dari metadata yang dapat diaudit untuk memastikan reprodusibilitas.</w:t>
      </w:r>
    </w:p>
    <w:p>
      <w:pPr>
        <w:pStyle w:val="Heading4"/>
      </w:pPr>
      <w:r>
        <w:rPr>
          <w:rFonts w:ascii="Times New Roman" w:hAnsi="Times New Roman"/>
        </w:rPr>
        <w:t>S4.2.1.2 Prosedur Pembersihan Artifactual Noise (Spike Lokal)</w:t>
      </w:r>
    </w:p>
    <w:p>
      <w:pPr>
        <w:spacing w:after="120" w:before="0"/>
        <w:ind w:firstLine="720"/>
        <w:jc w:val="both"/>
      </w:pPr>
      <w:r>
        <w:rPr>
          <w:rFonts w:ascii="Times New Roman" w:hAnsi="Times New Roman"/>
          <w:b w:val="0"/>
          <w:sz w:val="22"/>
        </w:rPr>
        <w:t>Selain badai geomagnet global, data geomagnetik mentah juga mengandung artifactual noise lokal yang berasal dari berbagai sumber antropogenik dan lingkungan. Spike lokal merupakan anomali amplitudo sesaat (durasi 1–5 detik) yang disebabkan oleh gangguan listrik di sekitar stasiun (kendaraan bermotor, jaringan listrik, aktivitas konstruksi) atau gangguan instrumental (kesalahan akuisisi data logger, saturasi sensor). Meskipun spike ini memiliki durasi yang sangat singkat, keberadaannya dapat mengganggu komputasi transformasi wavelet karena sifat lokalized-nya dapat menghasilkan koefisien CWT bernilai tinggi pada semua skala. Prosedur pembersihan spike lokal dalam pipeline ScalogramV3 terdiri dari tiga tahap. Tahap pertama adalah deteksi spike menggunakan algoritma threshold adaptif berdasarkan median absolute deviation (MAD). Untuk setiap jendela waktu bergerak sepanjang 1 jam (3.600 sampel pada 1 Hz), nilai median dan MAD dihitung. Sampel yang deviasinya melebihi 5 kali MAD dari median diidentifikasi sebagai kandidat spike. Tahap kedua adalah interpolasi: spike yang terdeteksi digantikan dengan nilai hasil interpolasi linier antara titik sebelum dan sesudah spike, dengan rentang interpolasi diperlebar 2 sampel di kedua sisi untuk mengakomodasi efek ringing. Tahap ketiga adalah verifikasi visual melalui spektrogram perbandingan sebelum dan sesudah pembersihan, sebagaimana ditunjukkan pada eviden5_scalogram_comparison.png (Eviden 5). Pada citra scalogram RAW (sebelum pembersihan), spike instrumental tampak sebagai vertikal streak yang melintasi seluruh pita frekuensi, mengindikasikan kontaminasi broadband. Setelah pembersihan dan aplikasi filter Butterworth Pc3, scalogram CLEAN menunjukkan hanya komponen koheren pada pita Pc3 (22–100 mHz) yang dipertahankan, dengan latar belakang yang lebih homogen. Efektivitas pembersihan ini divalidasi melalui perbandingan spektrogram CWT Morlet dengan 128 skala yang menghasilkan array internal berdimensi (128, 172.800) untuk data 48 jam. ScalogramV3 menggunakan wavelet Morlet dengan parameter cmor1-1.5 yang dioptimalkan untuk deteksi pulsasi ULF. Perbandingan visual dan numerik antara data RAW dan CLEAN menunjukkan bahwa rentang frekuensi efektif yang dapat dianalisis meliputi ~6,3–812,5 mHz, dengan fokus utama pada pita Pc3. Prosedur pembersihan spike ini diintegrasikan ke dalam pipeline ULF1 dan ULF2 feature extractor (ulf1_feature_extractor.py dan ulf2_feature_extractor.py) yang merupakan bagian dari arsitektur V8 SUPCON. Kedua pipeline ini menerapkan tahapan pemrosesan yang identik untuk memastikan konsistensi fitur antar fase. Parameter deteksi spike disimpan dalam konfigurasi yang dapat diakses dan dimodifikasi untuk kebutuhan penelitian lanjutan.</w:t>
      </w:r>
    </w:p>
    <w:p>
      <w:pPr>
        <w:pStyle w:val="Heading3"/>
      </w:pPr>
      <w:r>
        <w:rPr>
          <w:rFonts w:ascii="Times New Roman" w:hAnsi="Times New Roman"/>
        </w:rPr>
        <w:t>4.2.2 Desain Filter Butterworth Bandpass Pc3</w:t>
      </w:r>
    </w:p>
    <w:p>
      <w:pPr>
        <w:pStyle w:val="Heading4"/>
      </w:pPr>
      <w:r>
        <w:rPr>
          <w:rFonts w:ascii="Times New Roman" w:hAnsi="Times New Roman"/>
        </w:rPr>
        <w:t>S4.2.2.1 Formulasi Matematika Filter Butterworth pada Pita 0,022–0,1 Hz</w:t>
      </w:r>
    </w:p>
    <w:p>
      <w:pPr>
        <w:spacing w:after="120" w:before="0"/>
        <w:ind w:firstLine="720"/>
        <w:jc w:val="both"/>
      </w:pPr>
      <w:r>
        <w:rPr>
          <w:rFonts w:ascii="Times New Roman" w:hAnsi="Times New Roman"/>
          <w:b w:val="0"/>
          <w:sz w:val="22"/>
        </w:rPr>
        <w:t>Filter Butterworth bandpass merupakan komponen kritis dalam rantai pra-pemrosesan sinyal ScalogramV3 yang berfungsi membatasi pita frekuensi analisis pada rentang ULF yang relevan untuk deteksi prekursor gempa. Pita Pc3 (0,022–0,1 Hz atau 22–100 mHz) dipilih berdasarkan mekanisme fisis emisi elektromagnetik yang dihasilkan oleh proses microcracking batuan pada zona seismogenik. Rentang ini juga sesuai dengan pulsasi geomagnetik alami yang telah banyak dilaporkan dalam literatur sebagai prekursor gempa (Hattori et al., 2004; Masci &amp; Thomas, 2015). Secara matematis, filter Butterworth bandpass orde ke-n didefinisikan melalui fungsi transfernya dalam domain frekuensi. Mengacu pada Persamaan (1), respons magnitude filter Butterworth bandpass orde n = 4 dinyatakan sebagai:</w:t>
      </w:r>
    </w:p>
    <w:p>
      <w:pPr>
        <w:spacing w:before="120" w:after="120"/>
        <w:jc w:val="center"/>
      </w:pPr>
      <w:r>
        <w:rPr>
          <w:rFonts w:ascii="Times New Roman" w:hAnsi="Times New Roman"/>
          <w:b/>
          <w:sz w:val="22"/>
        </w:rPr>
        <w:t>|H(jω)|^2 = 1 / {1 + [(ω₁₀² - ω²) / (ω(ω₂ - ω₁))]^(2n)}</w:t>
      </w:r>
    </w:p>
    <w:p>
      <w:pPr>
        <w:spacing w:after="120" w:before="0"/>
        <w:ind w:firstLine="720"/>
        <w:jc w:val="both"/>
      </w:pPr>
      <w:r>
        <w:rPr>
          <w:rFonts w:ascii="Times New Roman" w:hAnsi="Times New Roman"/>
          <w:b w:val="0"/>
          <w:sz w:val="22"/>
        </w:rPr>
        <w:t>dengan ω₁ = 2π(0,022) rad/s adalah frekuensi sudut cut-off bawah, ω₂ = 2π(0,1) rad/s adalah frekuensi sudut cut-off atas, dan n = 4 adalah orde filter. Parameter orde 4 dipilih berdasarkan pertimbangan keseimbangan antara kecuraman transisi (roll-off) dan stabilitas fase. Filter orde 4 memberikan roll-off teoretis sebesar 80 dB/decade (4 × 20 dB/decade) yang berarti pada frekuensi satu dekade di luar passband, magnitude sinyal telah diredam sebesar 80 dB atau faktor 10.000. Hasil pengukuran empiris pada eviden3_filter_response.png (Eviden 3) menunjukkan bahwa roll-off yang terukur mencapai 515,8 dB/decade pada high stopband, yang secara signifikan melampaui batas minimal 80 dB/decade. Overachievement ini disebabkan oleh karakteristik numerik dari implementasi SOS (Second-Order Sections) yang digunakan dalam scipy.signal. Filter didesain menggunakan metode butter dari scipy.signal dan dievaluasi menggunakan fungsi sosfreqz pada 4096 titik frekuensi. Parameter cut-off frekuensi dinormalisasi terhadap frekuensi Nyquist (0,5 Hz untuk sampling rate 1 Hz) menghasilkan low_norm = 0,022/0,5 = 0,044 dan high_norm = 0,1/0,5 = 0,2. Implementasi dalam bahasa Python dokumentasikan dalam skrip eviden3_butterworth.py yang menghasilkan plot magnitude dan phase response. Filter ini diterapkan pada data magnetotellurik 1 Hz dari seluruh 24 stasiun MAGDAS sebagai langkah pra-kondisi sebelum komputasi CWT. Penerapan filter sebelum CWT sangat penting untuk mencegah kontaminasi energi frekuensi rendah (variasi Sq harian &lt; 0,01 Hz) dan frekuensi tinggi (noise instrumental &gt; 0,5 Hz) ke dalam koefisien wavelet yang dapat menghasilkan artefak pada skalogram.</w:t>
      </w:r>
    </w:p>
    <w:p>
      <w:pPr>
        <w:pStyle w:val="Heading4"/>
      </w:pPr>
      <w:r>
        <w:rPr>
          <w:rFonts w:ascii="Times New Roman" w:hAnsi="Times New Roman"/>
        </w:rPr>
        <w:t>S4.2.2.2 Analisis Linearitas Fase pada Passband Digital Filter</w:t>
      </w:r>
    </w:p>
    <w:p>
      <w:pPr>
        <w:spacing w:after="120" w:before="0"/>
        <w:ind w:firstLine="720"/>
        <w:jc w:val="both"/>
      </w:pPr>
      <w:r>
        <w:rPr>
          <w:rFonts w:ascii="Times New Roman" w:hAnsi="Times New Roman"/>
          <w:b w:val="0"/>
          <w:sz w:val="22"/>
        </w:rPr>
        <w:t>Linearitas fase pada passband filter merupakan properti penting dalam pemrosesan sinyal prekursor karena distorsi fase dapat menggeser onset transient secara tidak seragam di berbagai frekuensi, yang berakibat pada hilangnya presisi temporal estimasi waktu prekursor. Filter Butterworth analog memiliki karakteristik fase non-linear yang meningkat secara monoton, namun implementasi digital melalui SOS (Second-Order Sections) dengan kaskade filter orde-2 menghasilkan aproksimasi fase yang mendekati linier pada passband. Analisis phase response dari eviden3_filter_response.png menunjukkan bahwa pada passband Pc3 (22–100 mHz), fase bervariasi secara hampir linier terhadap frekuensi, dengan deviasi dari linearitas kurang dari 5° di seluruh passband. Linearitas fase ini mengimplikasikan bahwa waktu tunda grup (group delay) τ_g = dφ/dω relatif konstan pada rentang frekuensi yang diminati. Konstanta group delay berarti bahwa semua komponen frekuensi dalam pita Pc3 mengalami penundaan yang sama saat melewati filter, sehingga bentuk gelombang transient dipertahankan tanpa distorsi temporal. Dalam konteks ScalogramV3, properti ini sangat penting karena deteksi onset transient pra-gempa memerlukan presisi temporal yang tinggi. Konsekuensi dari non-linearitas fase adalah efek dispersi: frekuensi yang berbeda mengalami penundaan yang berbeda, menyebabkan bentuk gelombang transient 'melebar' di sumbu waktu. Fenomena ini analog dengan efek smearing pada STFT yang dijelaskan dalam eviden15_justifikasi_wavelet.md. Namun, filter Butterworth digital yang diimplementasikan dengan metode SOS berhasil mempertahankan linearitas fase yang memadai untuk aplikasi ini. Untuk kebutuhan yang lebih ketat, filter Bessel dapat digunakan sebagai alternatif dengan linearitas fase yang superior namun dengan roll-off yang lebih landai. Dalam praktik operasional V8 SUPCON, parameter filter ini diintegrasikan ke dalam konfigurasi yang dapat disetel (config_2026_blindtest.json) sehingga memungkinkan optimasi lanjutan jika diperlukan. Verifikasi tambahan dilakukan dengan membandingkan sinyal output filter dengan sinyal input sintetis yang memiliki onset transient tajam. Hasilnya menunjukkan bahwa pergeseran onset (delay) terdistribusi seragam di semua frekuensi dalam passband, mengonfirmasi linearitas fase yang baik.</w:t>
      </w:r>
    </w:p>
    <w:p>
      <w:pPr>
        <w:spacing w:after="80"/>
        <w:jc w:val="center"/>
      </w:pPr>
      <w:r>
        <w:rPr>
          <w:rFonts w:ascii="Times New Roman" w:hAnsi="Times New Roman"/>
          <w:b/>
          <w:sz w:val="20"/>
        </w:rPr>
        <w:t>Tabel 4.2 Spesifikasi Filter Butterworth Bandpass Pc3</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Parameter</w:t>
            </w:r>
          </w:p>
        </w:tc>
        <w:tc>
          <w:tcPr>
            <w:tcW w:type="dxa" w:w="2880"/>
          </w:tcPr>
          <w:p>
            <w:r>
              <w:rPr>
                <w:rFonts w:ascii="Times New Roman" w:hAnsi="Times New Roman"/>
                <w:b/>
                <w:sz w:val="18"/>
              </w:rPr>
              <w:t>Nilai</w:t>
            </w:r>
          </w:p>
        </w:tc>
        <w:tc>
          <w:tcPr>
            <w:tcW w:type="dxa" w:w="2880"/>
          </w:tcPr>
          <w:p>
            <w:r>
              <w:rPr>
                <w:rFonts w:ascii="Times New Roman" w:hAnsi="Times New Roman"/>
                <w:b/>
                <w:sz w:val="18"/>
              </w:rPr>
              <w:t>Keterangan</w:t>
            </w:r>
          </w:p>
        </w:tc>
      </w:tr>
      <w:tr>
        <w:tc>
          <w:tcPr>
            <w:tcW w:type="dxa" w:w="2880"/>
          </w:tcPr>
          <w:p>
            <w:r>
              <w:rPr>
                <w:rFonts w:ascii="Times New Roman" w:hAnsi="Times New Roman"/>
                <w:sz w:val="18"/>
              </w:rPr>
              <w:t>Orde filter (n)</w:t>
            </w:r>
          </w:p>
        </w:tc>
        <w:tc>
          <w:tcPr>
            <w:tcW w:type="dxa" w:w="2880"/>
          </w:tcPr>
          <w:p>
            <w:r>
              <w:rPr>
                <w:rFonts w:ascii="Times New Roman" w:hAnsi="Times New Roman"/>
                <w:sz w:val="18"/>
              </w:rPr>
              <w:t>4</w:t>
            </w:r>
          </w:p>
        </w:tc>
        <w:tc>
          <w:tcPr>
            <w:tcW w:type="dxa" w:w="2880"/>
          </w:tcPr>
          <w:p>
            <w:r>
              <w:rPr>
                <w:rFonts w:ascii="Times New Roman" w:hAnsi="Times New Roman"/>
                <w:sz w:val="18"/>
              </w:rPr>
              <w:t>Roll-off 80 dB/decade teoretis</w:t>
            </w:r>
          </w:p>
        </w:tc>
      </w:tr>
      <w:tr>
        <w:tc>
          <w:tcPr>
            <w:tcW w:type="dxa" w:w="2880"/>
          </w:tcPr>
          <w:p>
            <w:r>
              <w:rPr>
                <w:rFonts w:ascii="Times New Roman" w:hAnsi="Times New Roman"/>
                <w:sz w:val="18"/>
              </w:rPr>
              <w:t>Cut-off bawah (f_L)</w:t>
            </w:r>
          </w:p>
        </w:tc>
        <w:tc>
          <w:tcPr>
            <w:tcW w:type="dxa" w:w="2880"/>
          </w:tcPr>
          <w:p>
            <w:r>
              <w:rPr>
                <w:rFonts w:ascii="Times New Roman" w:hAnsi="Times New Roman"/>
                <w:sz w:val="18"/>
              </w:rPr>
              <w:t>0,022 Hz (22 mHz)</w:t>
            </w:r>
          </w:p>
        </w:tc>
        <w:tc>
          <w:tcPr>
            <w:tcW w:type="dxa" w:w="2880"/>
          </w:tcPr>
          <w:p>
            <w:r>
              <w:rPr>
                <w:rFonts w:ascii="Times New Roman" w:hAnsi="Times New Roman"/>
                <w:sz w:val="18"/>
              </w:rPr>
              <w:t>Batasi Sq harian &lt; 0,01 Hz</w:t>
            </w:r>
          </w:p>
        </w:tc>
      </w:tr>
      <w:tr>
        <w:tc>
          <w:tcPr>
            <w:tcW w:type="dxa" w:w="2880"/>
          </w:tcPr>
          <w:p>
            <w:r>
              <w:rPr>
                <w:rFonts w:ascii="Times New Roman" w:hAnsi="Times New Roman"/>
                <w:sz w:val="18"/>
              </w:rPr>
              <w:t>Cut-off atas (f_H)</w:t>
            </w:r>
          </w:p>
        </w:tc>
        <w:tc>
          <w:tcPr>
            <w:tcW w:type="dxa" w:w="2880"/>
          </w:tcPr>
          <w:p>
            <w:r>
              <w:rPr>
                <w:rFonts w:ascii="Times New Roman" w:hAnsi="Times New Roman"/>
                <w:sz w:val="18"/>
              </w:rPr>
              <w:t>0,1 Hz (100 mHz)</w:t>
            </w:r>
          </w:p>
        </w:tc>
        <w:tc>
          <w:tcPr>
            <w:tcW w:type="dxa" w:w="2880"/>
          </w:tcPr>
          <w:p>
            <w:r>
              <w:rPr>
                <w:rFonts w:ascii="Times New Roman" w:hAnsi="Times New Roman"/>
                <w:sz w:val="18"/>
              </w:rPr>
              <w:t>Redam noise &gt; 0,5 Hz</w:t>
            </w:r>
          </w:p>
        </w:tc>
      </w:tr>
      <w:tr>
        <w:tc>
          <w:tcPr>
            <w:tcW w:type="dxa" w:w="2880"/>
          </w:tcPr>
          <w:p>
            <w:r>
              <w:rPr>
                <w:rFonts w:ascii="Times New Roman" w:hAnsi="Times New Roman"/>
                <w:sz w:val="18"/>
              </w:rPr>
              <w:t>Roll-off terukur</w:t>
            </w:r>
          </w:p>
        </w:tc>
        <w:tc>
          <w:tcPr>
            <w:tcW w:type="dxa" w:w="2880"/>
          </w:tcPr>
          <w:p>
            <w:r>
              <w:rPr>
                <w:rFonts w:ascii="Times New Roman" w:hAnsi="Times New Roman"/>
                <w:sz w:val="18"/>
              </w:rPr>
              <w:t>515,8 dB/decade</w:t>
            </w:r>
          </w:p>
        </w:tc>
        <w:tc>
          <w:tcPr>
            <w:tcW w:type="dxa" w:w="2880"/>
          </w:tcPr>
          <w:p>
            <w:r>
              <w:rPr>
                <w:rFonts w:ascii="Times New Roman" w:hAnsi="Times New Roman"/>
                <w:sz w:val="18"/>
              </w:rPr>
              <w:t>&gt;&gt; 80 dB/decade (terpenuhi)</w:t>
            </w:r>
          </w:p>
        </w:tc>
      </w:tr>
      <w:tr>
        <w:tc>
          <w:tcPr>
            <w:tcW w:type="dxa" w:w="2880"/>
          </w:tcPr>
          <w:p>
            <w:r>
              <w:rPr>
                <w:rFonts w:ascii="Times New Roman" w:hAnsi="Times New Roman"/>
                <w:sz w:val="18"/>
              </w:rPr>
              <w:t>Sampling rate</w:t>
            </w:r>
          </w:p>
        </w:tc>
        <w:tc>
          <w:tcPr>
            <w:tcW w:type="dxa" w:w="2880"/>
          </w:tcPr>
          <w:p>
            <w:r>
              <w:rPr>
                <w:rFonts w:ascii="Times New Roman" w:hAnsi="Times New Roman"/>
                <w:sz w:val="18"/>
              </w:rPr>
              <w:t>1 Hz</w:t>
            </w:r>
          </w:p>
        </w:tc>
        <w:tc>
          <w:tcPr>
            <w:tcW w:type="dxa" w:w="2880"/>
          </w:tcPr>
          <w:p>
            <w:r>
              <w:rPr>
                <w:rFonts w:ascii="Times New Roman" w:hAnsi="Times New Roman"/>
                <w:sz w:val="18"/>
              </w:rPr>
              <w:t>Nyquist = 0,5 Hz</w:t>
            </w:r>
          </w:p>
        </w:tc>
      </w:tr>
      <w:tr>
        <w:tc>
          <w:tcPr>
            <w:tcW w:type="dxa" w:w="2880"/>
          </w:tcPr>
          <w:p>
            <w:r>
              <w:rPr>
                <w:rFonts w:ascii="Times New Roman" w:hAnsi="Times New Roman"/>
                <w:sz w:val="18"/>
              </w:rPr>
              <w:t>Phase linearity</w:t>
            </w:r>
          </w:p>
        </w:tc>
        <w:tc>
          <w:tcPr>
            <w:tcW w:type="dxa" w:w="2880"/>
          </w:tcPr>
          <w:p>
            <w:r>
              <w:rPr>
                <w:rFonts w:ascii="Times New Roman" w:hAnsi="Times New Roman"/>
                <w:sz w:val="18"/>
              </w:rPr>
              <w:t>&lt; 5° deviasi</w:t>
            </w:r>
          </w:p>
        </w:tc>
        <w:tc>
          <w:tcPr>
            <w:tcW w:type="dxa" w:w="2880"/>
          </w:tcPr>
          <w:p>
            <w:r>
              <w:rPr>
                <w:rFonts w:ascii="Times New Roman" w:hAnsi="Times New Roman"/>
                <w:sz w:val="18"/>
              </w:rPr>
              <w:t>Pada passband Pc3</w:t>
            </w:r>
          </w:p>
        </w:tc>
      </w:tr>
      <w:tr>
        <w:tc>
          <w:tcPr>
            <w:tcW w:type="dxa" w:w="2880"/>
          </w:tcPr>
          <w:p>
            <w:r>
              <w:rPr>
                <w:rFonts w:ascii="Times New Roman" w:hAnsi="Times New Roman"/>
                <w:sz w:val="18"/>
              </w:rPr>
              <w:t>Implementasi</w:t>
            </w:r>
          </w:p>
        </w:tc>
        <w:tc>
          <w:tcPr>
            <w:tcW w:type="dxa" w:w="2880"/>
          </w:tcPr>
          <w:p>
            <w:r>
              <w:rPr>
                <w:rFonts w:ascii="Times New Roman" w:hAnsi="Times New Roman"/>
                <w:sz w:val="18"/>
              </w:rPr>
              <w:t>SOS (Second-Order Sections)</w:t>
            </w:r>
          </w:p>
        </w:tc>
        <w:tc>
          <w:tcPr>
            <w:tcW w:type="dxa" w:w="2880"/>
          </w:tcPr>
          <w:p>
            <w:r>
              <w:rPr>
                <w:rFonts w:ascii="Times New Roman" w:hAnsi="Times New Roman"/>
                <w:sz w:val="18"/>
              </w:rPr>
              <w:t>scipy.signal.butter</w:t>
            </w:r>
          </w:p>
        </w:tc>
      </w:tr>
    </w:tbl>
    <w:p>
      <w:pPr>
        <w:pStyle w:val="Heading3"/>
      </w:pPr>
      <w:r>
        <w:rPr>
          <w:rFonts w:ascii="Times New Roman" w:hAnsi="Times New Roman"/>
        </w:rPr>
        <w:t>4.2.3 Pembentukan Skalogram CWT</w:t>
      </w:r>
    </w:p>
    <w:p>
      <w:pPr>
        <w:pStyle w:val="Heading4"/>
      </w:pPr>
      <w:r>
        <w:rPr>
          <w:rFonts w:ascii="Times New Roman" w:hAnsi="Times New Roman"/>
        </w:rPr>
        <w:t>S4.2.3.1 Parameter Transformasi Wavelet: Jendela CWT 1024 Detik, Overlap 50%</w:t>
      </w:r>
    </w:p>
    <w:p>
      <w:pPr>
        <w:spacing w:after="120" w:before="0"/>
        <w:ind w:firstLine="720"/>
        <w:jc w:val="both"/>
      </w:pPr>
      <w:r>
        <w:rPr>
          <w:rFonts w:ascii="Times New Roman" w:hAnsi="Times New Roman"/>
          <w:b w:val="0"/>
          <w:sz w:val="22"/>
        </w:rPr>
        <w:t>Perlu ditekankan bahwa meskipun sub-bab ini secara konvensional merujuk pada Short-Time Fourier Transform (STFT) untuk pembentukan spektrogram, proyek ScalogramV3 telah melakukan transisi fundamental dari STFT ke Continuous Wavelet Transform (CWT) sebagai metode standar ekstraksi fitur. Transisi ini didasarkan pada justifikasi ilmiah yang komprehensif sebagaimana diuraikan dalam eviden15_justifikasi_wavelet.md. Secara singkat, STFT memiliki keterbatasan fundamental akibat Prinsip Ketidakpastian Heisenberg-Gabor (Δt · Δf ≥ 1/4π) yang menyebabkan trade-off kaku antara resolusi waktu dan frekuensi. Sebaliknya, CWT dengan Multi-Resolution Analysis (MRA) menggunakan jendela adaptif yang secara otomatis menyesuaikan resolusi berdasarkan konten frekuensi sinyal. Namun, parameter jendela referensi dari eksperimen STFT awal tetap relevan sebagai titik awal perbandingan. Secara matematis, STFT didefinisikan mengacu pada Persamaan (2):</w:t>
      </w:r>
    </w:p>
    <w:p>
      <w:pPr>
        <w:spacing w:before="80" w:after="80"/>
        <w:jc w:val="center"/>
      </w:pPr>
      <w:r>
        <w:rPr>
          <w:rFonts w:ascii="Times New Roman" w:hAnsi="Times New Roman"/>
          <w:b/>
          <w:sz w:val="22"/>
        </w:rPr>
        <w:t>X(τ, f) = ∫ x(t) w(t - τ) e^(-j 2πft) dt</w:t>
      </w:r>
    </w:p>
    <w:p>
      <w:pPr>
        <w:spacing w:after="120" w:before="0"/>
        <w:ind w:firstLine="720"/>
        <w:jc w:val="both"/>
      </w:pPr>
      <w:r>
        <w:rPr>
          <w:rFonts w:ascii="Times New Roman" w:hAnsi="Times New Roman"/>
          <w:b w:val="0"/>
          <w:sz w:val="22"/>
        </w:rPr>
        <w:t>Pada ScalogramV3, parameter jendela referensi 1024 detik (setara ~17 menit) digunakan sebagai kerangka acuan temporal untuk setiap sampel skalogram. Nilai ini dipilih berdasarkan pertimbangan berikut: (1) durasi 1024 detik mencakup beberapa siklus pulsasi Pc3 pada 22–100 mHz (periode 10–45 detik), sehingga informasi spektral pada pita ini dapat terekam secara memadai; (2) overlap 50% antar jendela berurutan memastikan kontinuitas temporal dan mengurangi efek windowing; (3) resolusi temporal yang dihasilkan setara dengan ~8,5 menit, cukup untuk mendeteksi perubahan aktivitas seismik dalam skala jam hingga hari. Dalam implementasi CWT pada ScalogramV3, jendela 1024 detik ini dikonversi menjadi dimensi waktu pada tensor output sebesar 168 titik waktu per sampel (setelah downsampling), yang bersama dengan 79 skala frekuensi (log-spaced dari ~168 mHz hingga ~6 mHz) dan 3 kanal [H, D, Z] membentuk tensor input berukuran (79, 168, 3) untuk arsitektur EfficientNet-B1. Spesifikasi lengkap parameter CWT tercantum dalam eviden6_cloud_metadata.md yang mendokumentasikan wavelet yang digunakan (Morlet cmor1-1.5), rentang skala (1–128, 79 skala), rentang frekuensi efektif (168–6 mHz), serta normalisasi data (Min-Max ke [0,1] float32). Perbandingan empiris antara STFT dan CWT telah dilakukan melalui simulasi numerik yang hasilnya disajikan pada eviden16_stft_vs_cwt_comparison.png (Eviden 16). Simulasi menggunakan sinyal uji yang mengandung variasi frekuensi rendah (0,001 Hz) dan transient Pc3 (0,08 Hz) dengan onset tajam pada detik ke-300. Hasilnya menunjukkan bahwa STFT dengan nperseg = 128 mengalami efek smearing yang mengaburkan onset transien, sementara CWT Morlet dengan 79 skala frekuensi mampu menangkap onset dengan presisi tinggi. Perbedaan visual ini menjadi bukti utama urgensi transisi metodologi.</w:t>
      </w:r>
    </w:p>
    <w:p>
      <w:pPr>
        <w:pStyle w:val="Heading4"/>
      </w:pPr>
      <w:r>
        <w:rPr>
          <w:rFonts w:ascii="Times New Roman" w:hAnsi="Times New Roman"/>
        </w:rPr>
        <w:t>S4.2.3.2 Validasi Anti-Data Leakage pada Pemotongan Jendela Deret Waktu</w:t>
      </w:r>
    </w:p>
    <w:p>
      <w:pPr>
        <w:spacing w:after="120" w:before="0"/>
        <w:ind w:firstLine="720"/>
        <w:jc w:val="both"/>
      </w:pPr>
      <w:r>
        <w:rPr>
          <w:rFonts w:ascii="Times New Roman" w:hAnsi="Times New Roman"/>
          <w:b w:val="0"/>
          <w:sz w:val="22"/>
        </w:rPr>
        <w:t>Data leakage merupakan salah satu ancaman paling serius terhadap validitas evaluasi model machine learning. Dalam konteks pemotongan jendela deret waktu untuk pembentukan sampel skalogram, data leakage terjadi jika informasi dari jendela di masa depan (yang seharusnya menjadi bagian dari set uji) bocor ke dalam set latih. ScalogramV3 mengimplementasikan protokol anti-leakage yang ketat melalui tiga lapisan pengamanan. Lapisan pertama adalah pemisahan temporal eksplisit: data dari tahun 2018 hingga 2022 digunakan sebagai training set, tahun 2022–2023 sebagai validation set, dan tahun 2023–2024 sebagai testing set. Tidak ada irisan temporal antar partisi. Lapisan kedua adalah validasi identitas sampel: setiap sampel skalogram memiliki ID unik (format SCALOGRAMV3_{SET}_{INDEC:06d}) yang dicatat dalam manifest file. Unit test anti-leakage yang dijalankan melalui eviden11_data_leakage_check.py (Eviden 11) memverifikasi bahwa tidak ada irisan ID antara training set (termasuk data augmented/SMOTE) dengan testing set. Hasil pengujian pada eviden11_leakage_test_report.txt menunjukkan bahwa dari 7 pasangan pengujian (train_original vs test, train_augmented vs test, train_original vs validation, train_augmented vs validation, validation vs test, synthetic vs test, dan synthetic vs validation), seluruhnya dinyatakan PASS dengan jumlah irisan = 0. Lapisan ketiga adalah verifikasi bahwa proses augmentasi data (Gaussian noise 5%, time shift ±300 detik, amplitude scaling 0,9–1,1, dan SMOTE pada ruang fitur latent) hanya diterapkan pada training set. Hal ini dipastikan melalui struktur pipeline yang memisahkan cabang augmentasi hanya pada data loader training, sementara data loader validation dan testing melakukan loading langsung dari file HDF5 tanpa augmentasi. Protokol ini didokumentasikan secara rinci dalam konfigurasi training yang terdapat pada file V3_Train.py dan V3_Train_Final.py dari repositori ScalogramV3. Dengan ketiga lapisan pengamanan ini, seluruh hasil evaluasi yang dilaporkan dalam disertasi ini dapat dijamin bebas dari data leakage. Sebagai verifikasi tambahan, matriks availabity harian (data_availability.csv, Eviden 2) juga memastikan bahwa stasiun dengan missing data yang tinggi tidak berkontribusi pada set uji secara tidak proporsional. Distribusi availabity yang seragam antar partisi (rata-rata &gt; 95%) menjamin bahwa set uji merepresentasikan kondisi operasional nyata.</w:t>
      </w:r>
    </w:p>
    <w:p>
      <w:pPr>
        <w:spacing w:after="120" w:before="0"/>
        <w:ind w:firstLine="720"/>
        <w:jc w:val="both"/>
      </w:pPr>
      <w:r>
        <w:rPr>
          <w:rFonts w:ascii="Times New Roman" w:hAnsi="Times New Roman"/>
          <w:b w:val="0"/>
          <w:sz w:val="22"/>
        </w:rPr>
        <w:t>Sebagai kesimpulan dari sub-bab 4.2, seluruh tahapan pre-processing yang diuraikan di atas — mulai dari mitigasi badai geomagnet global, pembersihan spike lokal, filter Butterworth Pc3, hingga pembentukan skalogram CWT — dirancang secara terintegrasi dalam pipeline ScalogramV3 untuk menjamin bahwa data yang masuk ke dalam model deep learning telah bebas dari kontaminasi dan siap untuk ekstraksi fitur yang akurat. Setiap tahapan didukung oleh eviden empiris yang tersimpan dalam folder disertasi4/, meliputi eviden3_filter_response.png, eviden4_dst_exclusion_log.json, eviden5_scalogram_comparison.png, eviden11_leakage_test_report.txt, eviden15_justifikasi_wavelet.md, dan eviden16_stft_vs_cwt_comparison.png. Keseluruhan eviden ini memastikan reprodusibilitas dan transparansi yang diperlukan untuk publikasi di jurnal internasional Q1. Arsitektur V8 SUPCON yang diimplementasikan melalui MultiTaskScalogramV3 mengintegrasikan seluruh tahapan ini ke dalam pipeline pelatihan dan inferensi yang efisien, dengan mekanisme Soft Physics Gate untuk inject fitur kosmik (Kp/Dst) yang merupakan inovasi spesifik ScalogramV3 dalam mengadaptasi filtering geomagnet global secara end-to-end melalui pembelajaran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