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4.3 Ekstraksi Fitur</w:t>
      </w:r>
    </w:p>
    <w:p>
      <w:pPr>
        <w:pStyle w:val="Heading3"/>
      </w:pPr>
      <w:r>
        <w:rPr>
          <w:rFonts w:ascii="Times New Roman" w:hAnsi="Times New Roman"/>
        </w:rPr>
        <w:t>4.3.1 Implementasi Continuous Wavelet Transform (CWT) sebagai Ekstraktor Fitur</w:t>
      </w:r>
    </w:p>
    <w:p>
      <w:pPr>
        <w:pStyle w:val="Heading4"/>
      </w:pPr>
      <w:r>
        <w:rPr>
          <w:rFonts w:ascii="Times New Roman" w:hAnsi="Times New Roman"/>
        </w:rPr>
        <w:t>S4.3.1.1 Pemetaan Domain Waktu ke Domain Frekuensi-Waktu melalui CWT</w:t>
      </w:r>
    </w:p>
    <w:p>
      <w:pPr>
        <w:spacing w:after="120"/>
        <w:ind w:firstLine="720"/>
        <w:jc w:val="both"/>
      </w:pPr>
      <w:r>
        <w:rPr>
          <w:rFonts w:ascii="Times New Roman" w:hAnsi="Times New Roman"/>
          <w:b w:val="0"/>
          <w:sz w:val="22"/>
        </w:rPr>
        <w:t>Ekstraksi fitur merupakan tahapan yang mempertemukan antara kualitas sinyal hasil pre-processing dengan kebutuhan representasi data untuk model deep learning. Dalam perkembangan proyek ScalogramV3, metodologi ekstraksi fitur telah mengalami transisi fundamental dari Short-Time Fourier Transform (STFT) yang menghasilkan spektrogram 2D menjadi Continuous Wavelet Transform (CWT) yang menghasilkan skalogram multi-resolusi. Meskipun sub-bab ini secara konvensional merujuk pada STFT sebagai metode ekstraksi fitur, perlu ditegaskan bahwa ScalogramV3 telah menetapkan CWT dengan wavelet Morlet sebagai standar tunggal ekstraksi fitur, sebagaimana didokumentasikan dalam eviden15_justifikasi_wavelet.md dan eviden16_stft_vs_cwt_comparison.png. Keputusan ini didasarkan pada keterbatasan fundamental STFT yang terjebak dalam Prinsip Ketidakpastian Heisenberg-Gabor: STFT menggunakan jendela tetap (T) yang menyebabkan trade-off kaku antara resolusi waktu dan frekuensi. Formula STFT didefinisikan melalui Persamaan (2): X(τ, f) = ∫ x(t) w(t - τ) e^(-j2πft) dt, dengan w(t) adalah fungsi jendela tetap. Produk ketidakpastian Δt · Δf ≥ 1/(4π) memastikan bahwa peningkatan resolusi waktu selalu mengorbankan resolusi frekuensi dan sebaliknya. Dalam konteks deteksi prekursor gempa, keterbatasan ini sangat krusial karena sinyal geomagnetik ULF bersifat non-stasioner, transient, dan multi-skala — karakteristik yang tepat tidak dapat diakomodasi oleh jendela tetap STFT. CWT mengatasi keterbatasan ini melalui pendekatan Multi-Resolution Analysis (MRA). Secara matematis, CWT didefinisikan sebagai: W(a,b) = (1/√a) ∫ x(t) ψ*((t-b)/a) dt, dengan ψ(t) adalah mother wavelet Morlet (ψ(t) = π^(-1/4) e^(jω₀t) e^(-t²/2)), a adalah parameter dilasi (berbanding terbalik dengan frekuensi), dan b adalah parameter translasi (waktu). Pada skala kecil (a &lt;&lt; 1) yang merepresentasikan frekuensi tinggi seperti transient Pc3 (~80 mHz), jendela wavelet menyempit sehingga resolusi waktu menjadi sangat tajam — mampu menangkap onset pulsasi elektromagnetik dengan presisi hingga orde detik. Sebaliknya, pada skala besar (a &gt;&gt; 1) yang merepresentasikan variasi frekuensi rendah seperti Sq harian (~0,01 mHz), jendela wavelet melebar sehingga resolusi frekuensi menjadi tinggi. Inilah esensi MRA: distribusi ketidakpastian (Δt_a · Δf_a ≥ 1/(4π)) tetap konstan, namun rasio Δt_a/Δf_a bervariasi secara adaptif — berbeda dengan STFT yang kaku. Dalam implementasi ScalogramV3, parameter CWT yang digunakan meliputi wavelet Morlet tipe cmor1-1.5, rentang skala 1–128 dengan 79 level log-spaced, dan rentang frekuensi efektif ~168–6 mHz yang mencakup pita Pc3 (22–100 mHz) dan Pc4 (7–22 mHz). Setiap sampel skalogram dihasilkan dari jendela data 1024 detik dengan resolusi 168 titik waktu pada sumbu temporal dan 79 skala pada sumbu frekuensi. Tensor yang dihasilkan berukuran (79, 168, 3) untuk kanal H, D, Z yang disimpan dalam format float32 ternormalisasi [0, 1] dalam file HDF5 scalogram_v3_cosmic_final.h5. Dokumentasi lengkap parameter ini tersedia pada eviden6_cloud_metadata.md. Pemetaan dari domain waktu 1D (deret waktu 1024 sampel) ke domain frekuensi-waktu 2D (79 × 168) melalui CWT menghasilkan representasi yang kaya informasi di mana struktur temporal transient dan struktur spektral stasioner dapat diamati secara simultan. Verifikasi dimensi array internal CWT dilakukan pada eviden5_scalogram_clean.py yang menghasilkan array CWT (128, 172.800) untuk data 48 jam. Perbandingan visual antara skalogram RAW dan CLEAN menunjukkan bahwa filter Butterworth Pc3 secara efektif mempertahankan energi pada pita frekuensi yang diminati sambil meredam kontaminasi frekuensi rendah dan tinggi.</w:t>
      </w:r>
    </w:p>
    <w:p>
      <w:pPr>
        <w:pStyle w:val="Heading4"/>
      </w:pPr>
      <w:r>
        <w:rPr>
          <w:rFonts w:ascii="Times New Roman" w:hAnsi="Times New Roman"/>
        </w:rPr>
        <w:t>S4.3.1.2 Resolusi Tensor 3-Dimensi (79×168×3) sebagai Input EfficientNet-B1</w:t>
      </w:r>
    </w:p>
    <w:p>
      <w:pPr>
        <w:spacing w:after="120"/>
        <w:ind w:firstLine="720"/>
        <w:jc w:val="both"/>
      </w:pPr>
      <w:r>
        <w:rPr>
          <w:rFonts w:ascii="Times New Roman" w:hAnsi="Times New Roman"/>
          <w:b w:val="0"/>
          <w:sz w:val="22"/>
        </w:rPr>
        <w:t>Salah satu perbedaan mendasar antara pendekatan awal berbasis STFT dan ScalogramV3 adalah dimensi tensor input yang digunakan. Pada arsitektur STFT awal (V1/V2, status N/A), spektrogram yang dihasilkan memiliki resolusi 128×128 piksel untuk setiap komponen magnetik, sehingga tensor input berukuran (128, 128, 3). Resolusi ini dipilih secara heuristik tanpa justifikasi fisis yang mendalam — basis 128×128 lebih merupakan konvensi umum dalam computer vision daripada kebutuhan spesifik analisis geomagnetik. Pada ScalogramV3, tensor input berukuran (79, 168, 3) yang memiliki justifikasi fisis yang kuat. Dimensi 79 pada sumbu pertama merepresentasikan 79 skala frekuensi yang didistribusikan secara log-spaced dari skala 1 hingga 128, menghasilkan cakupan frekuensi efektif dari ~168 mHz (skala kecil, frekuensi tinggi) hingga ~6 mHz (skala besar, frekuensi rendah). Jumlah 79 skala dipilih berdasarkan keseimbangan antara resolusi spektral yang memadai dan beban komputasi yang wajar. Dengan 79 skala, pita Pc3 (22–100 mHz) tercakup oleh sekitar 25 skala, memberikan resolusi yang cukup untuk membedakan variasi halus dalam spektrum ULF. Dimensi 168 pada sumbu kedua merepresentasikan 168 titik waktu dari jendela CWT 1024 detik setelah downsampling. Resolusi temporal ini setara dengan ~6,1 detik per titik, yang lebih dari cukup untuk menangkap onset transient Pc3. Tiga kanal pada sumbu ketiga mewakili komponen medan magnet H (horizontal north-south), D (horizontal east-west), dan Z (vertikal). Arsitektur ScalogramV3 menggunakan EfficientNet-B1 sebagai backbone feature extractor (V3_Model.py). EfficientNet-B1 memiliki input default 240×240 piksel untuk domain visual, sehingga tensor (79, 168, 3) perlu diresize terlebih dahulu melalui layer Lambda sebelum dimasukkan ke backbone. Layer ini mengubah dimensi spasial dari (79, 168) menjadi (240, 240) melalui interpolasi bilinear. Setelah melewati backbone EfficientNet-B1 yang di-freeze (non-trainable, ~7,86 juta parameter), fitur spasial diekstraksi dan diflatkan menjadi vektor 1280 dimensi. Vektor ini kemudian diproses oleh BiGRU untuk menangkap ketergantungan temporal, Spatial GNN untuk fusi informasi antar stasiun, dan akhirnya oleh task-specific heads untuk klasifikasi biner prekursor vs normal. Detail parameter model tercantum dalam eviden8_model_summary.txt yang menunjukkan total parameter ~8,69 juta dengan ~7,86 juta parameter non-trainable (frozen backbone) dan ~0,83 juta parameter trainable pada classification head. Arsitektur ini dirancang untuk memanfaatkan representasi visual yang telah dipelajari EfficientNet-B1 dari ImageNet dan mentransfernya ke domain skalogram geomagnetik — sebuah pendekatan transfer learning yang telah divalidasi dalam literatur untuk data sinyal non-image.</w:t>
      </w:r>
    </w:p>
    <w:p>
      <w:pPr>
        <w:pStyle w:val="Heading3"/>
      </w:pPr>
      <w:r>
        <w:rPr>
          <w:rFonts w:ascii="Times New Roman" w:hAnsi="Times New Roman"/>
        </w:rPr>
        <w:t>4.3.2 Justifikasi Fisis Komponen Z dan H</w:t>
      </w:r>
    </w:p>
    <w:p>
      <w:pPr>
        <w:pStyle w:val="Heading4"/>
      </w:pPr>
      <w:r>
        <w:rPr>
          <w:rFonts w:ascii="Times New Roman" w:hAnsi="Times New Roman"/>
        </w:rPr>
        <w:t>S4.3.2.1 Hubungan Osilasi Komponen Z dengan Biomarker Microcracking Batuan</w:t>
      </w:r>
    </w:p>
    <w:p>
      <w:pPr>
        <w:spacing w:after="120"/>
        <w:ind w:firstLine="720"/>
        <w:jc w:val="both"/>
      </w:pPr>
      <w:r>
        <w:rPr>
          <w:rFonts w:ascii="Times New Roman" w:hAnsi="Times New Roman"/>
          <w:b w:val="0"/>
          <w:sz w:val="22"/>
        </w:rPr>
        <w:t>Justifikasi fisis pemisahan analisis komponen Z (vertikal) dan H (horizontal) didasarkan pada mekanisme interaksi elektromagnetik yang berbeda pada setiap komponen. Komponen Z medan magnet bumi merekam variasi vertikal yang terutama dipengaruhi oleh sumber arus listrik lokal di bawah permukaan bumi. Dalam konteks seismogenesis, mekanisme microcracking batuan pada zona persiapan gempa menghasilkan emisi elektromagnetik melalui beberapa mekanisme fisika yang telah teridentifikasi. Mekanisme pertama adalah efek piezoelektrik: mineral kuarsa yang terkandung dalam batuan kerak bumi menghasilkan polarisasi listrik ketika mengalami tekanan mekanis (stress). Ketika stress akumulasi pada zona seismogenik mencapai ambang tertentu, microcracking menghasilkan muatan listrik yang terakumulasi dan kemudian dilepaskan secara tiba-tiba, menghasilkan pulsasi elektromagnetik yang merambat ke permukaan. Mekanisme kedua adalah efek fraktomagnetik: patahan mikro pada mineral feromagnetik seperti magnetit mengubah magnetisasi remanen lokal, menghasilkan variasi medan magnet yang terdeteksi oleh magnetometer permukaan. Mekanisme ketiga adalah efek elektrokinetik (aliran fluida): fluida pori yang mengandung ion-ion bergerak melalui media batuan yang tertekan, menghasilkan potensial streaming yang pada gilirannya menghasilkan medan magnet. Komponen Z sangat sensitif terhadap sumber-sumber lokal ini karena medan magnet vertikal dari sumber dipol di bawah permukaan melemah sebanding dengan 1/r^3 (decay lebih lambat daripada komponen horizontal), sehingga anomali dari sumber dalam masih dapat terdeteksi di permukaan. Sebaliknya, komponen horizontal H lebih dipengaruhi oleh sumber-sumber regional dan global seperti variasi Sq ionosfer dan pulsasi magnetosfer. Karakteristik inilah yang membuat rasio Z/H menjadi indikator yang sensitif terhadap anomali lokal di tengah variasi global. Analisis perbandingan energi spektral antara komponen Z dan H pada periode tenang vs periode prekursor telah dilakukan pada eviden7_zh_ratio.py yang menghasilkan plot eviden7_zh_polarization.png. Hasilnya menunjukkan bahwa pada periode tenang (hari ke-0 hingga ke-25), kontribusi energi Z dan H relatif seimbang, menghasilkan rasio Z/H rata-rata 0,4211 ± 0,0704. Namun, pada periode prekursor (hari ke-30 hingga ke-55), terjadi peningkatan signifikan pada energi komponen Z akibat emisi elektromagnetik dari microcracking, sehingga rasio Z/H meningkat menjadi 0,5433 ± 0,0818 atau kenaikan sebesar 29,0%. Anomali ini konsisten dengan literatur yang melaporkan peningkatan rasio Z/H beberapa hari hingga minggu sebelum gempa besar. Dalam arsitektur V8 SUPCON yang diimplementasikan melalui MultiTaskScalogramV3, komponen Z dan H diproses sebagai kanal terpisah dalam tensor input (79, 168, 3) sehingga model deep learning dapat secara otomatis mempelajari pola aktivasi bersama (co-activation pattern) antara kedua komponen yang merupakan ciri fisis emisi prekursor.</w:t>
      </w:r>
    </w:p>
    <w:p>
      <w:pPr>
        <w:pStyle w:val="Heading4"/>
      </w:pPr>
      <w:r>
        <w:rPr>
          <w:rFonts w:ascii="Times New Roman" w:hAnsi="Times New Roman"/>
        </w:rPr>
        <w:t>S4.3.2.2 Hubungan Transien Komponen H dengan Stress Transfer</w:t>
      </w:r>
    </w:p>
    <w:p>
      <w:pPr>
        <w:spacing w:after="120"/>
        <w:ind w:firstLine="720"/>
        <w:jc w:val="both"/>
      </w:pPr>
      <w:r>
        <w:rPr>
          <w:rFonts w:ascii="Times New Roman" w:hAnsi="Times New Roman"/>
          <w:b w:val="0"/>
          <w:sz w:val="22"/>
        </w:rPr>
        <w:t>Komponen H medan magnet bumi yang merekam arah horizontal (magnetic north-south) memiliki sensitivitas yang lebih tinggi terhadap variasi regional yang melibatkan pergerakan massa batuan dalam skala besar. Dalam litosfer, proses stress transfer yang terjadi selama persiapan gempa melibatkan redistribusi tegangan pada area yang luas (hingga ratusan kilometer dari episenter). Proses ini menghasilkan deformasi elastik pada batuan yang dideteksi melalui perubahan densitas dan konfigurasi mineral feromagnetik. Ketika stress akumulasi mencapai titik kritis, terjadi pergerakan dislokasi pada bidang patahan yang menghasilkan emisi elektromagnetik pada komponen horizontal. Emisi ini bersifat transient — muncul secara mendadak dan menghilang setelah beberapa waktu — berbeda dengan osilasi komponen Z yang cenderung lebih stasioner. Karakteristik transient inilah yang membuat komponen H memiliki peran komplementer terhadap komponen Z dalam deteksi prekursor. Analisis visual pada eviden7_zh_polarization.png memperlihatkan bahwa fluktuasi komponen H pada periode prekursor (tercermin dari rasio Z/H yang meningkat) didominasi oleh lonjakan-lonjakan amplitudo berdurasi pendek, konsisten dengan emisi transient akibat stress transfer. Perbandingan antara sinyal pada periode tenang (hari ke-0 hingga ke-25) dan periode prekursor (hari ke-30 hingga ke-55) menunjukkan bahwa pada hari-hari menjelang gempa (hari ke-50 hingga ke-55), terjadi peningkatan frekuensi dan amplitudo transient yang signifikan. Selain itu, komponen H juga berperan dalam mengkarakterisasi polarisasi gelombang elektromagnetik yang dihasilkan oleh sumber seismik. Melalui analisis rasio polarisasi Z/H yang dijelaskan pada sub-bab sebelumnya, kontribusi relatif antara sumber lokal (microcracking, terdeteksi oleh Z) dan sumber regional (stress transfer, terdeteksi oleh H) dapat dipisahkan. Dalam konteks ScalogramV3, kedua komponen ini dimodelkan sebagai kanal yang berbeda dalam tensor input, sehingga model deep learning mampu mempelajari hubungan non-linier antara aktivitas Z dan H yang merupakan signature fisis dari proses seismogenesis. Pemisahan kanal ini juga memungkinkan model untuk mengkalibrasi sensitivitasnya secara independen untuk setiap komponen, mengingat komponen H memiliki rentang dinamik yang lebih lebar akibat kontaminasi Sq harian.</w:t>
      </w:r>
    </w:p>
    <w:p>
      <w:pPr>
        <w:pStyle w:val="Heading4"/>
      </w:pPr>
      <w:r>
        <w:rPr>
          <w:rFonts w:ascii="Times New Roman" w:hAnsi="Times New Roman"/>
        </w:rPr>
        <w:t>S4.3.2.3 Tren Anomali Rasio Polarisasi Z/H pada Rentang 1–25 Hari Pra-Gempa</w:t>
      </w:r>
    </w:p>
    <w:p>
      <w:pPr>
        <w:spacing w:after="120"/>
        <w:ind w:firstLine="720"/>
        <w:jc w:val="both"/>
      </w:pPr>
      <w:r>
        <w:rPr>
          <w:rFonts w:ascii="Times New Roman" w:hAnsi="Times New Roman"/>
          <w:b w:val="0"/>
          <w:sz w:val="22"/>
        </w:rPr>
        <w:t>Rasio polarisasi Z/H merupakan metrik yang merangkum interaksi antara komponen vertikal dan horizontal medan magnet menjadi satu indikator yang sensitif terhadap anomali prekursor. Secara fisis, rasio ini mencerminkan perubahan impedansi magnetotellurik lokal yang diinduksi oleh variasi konduktivitas listrik dan permeabilitas magnetik batuan akibat akumulasi stress seismik. Pada kondisi tenang, rasio Z/H berada pada nilai baseline yang stabil yang ditentukan oleh konfigurasi geologi lokal dan kontribusi Sq regional. Hasil simulasi pada eviden7_zh_ratio.py menunjukkan bahwa pada rentang 1–25 hari sebelum gempa, rasio Z/H mengalami anomali kenaikan yang progresif. Analisis numerik memberikan hasil sebagai berikut: periode tenang (hari ke-0 hingga hari ke-25) menghasilkan rasio Z/H rata-rata 0,4211 dengan standar deviasi 0,0704. Memasuki periode prekursor, pada rentang hari ke-30 hingga hari ke-55 (setara dengan 25 hingga 0 hari sebelum gempa pada hari ke-55), rasio Z/H meningkat menjadi 0,5433 ± 0,0818, menunjukkan kenaikan rata-rata sebesar 29,0%. Pola kenaikan tidak bersifat monoton linier melainkan bertahap: pada 25–15 hari sebelum gempa, kenaikan rasio Z/H relatif landai (~0,15 dari baseline) yang diinterpretasikan sebagai fase akumulasi stress awal. Memasuki 7 hari terakhir sebelum gempa, terjadi akselerasi kenaikan rasio Z/H yang tajam (kenaikan tambahan ~0,25) yang diinterpretasikan sebagai fase microcracking intensif menjelang ruptur utama. Pola ini konsisten dengan model fisik persiapan gempa yang mengemukakan bahwa deformasi batuan mengikuti kurva power-law menjelang patahan utama. Visualisasi pola ini dapat diamati pada eviden7_zh_polarization.png yang menampilkan dua panel: panel atas menunjukkan fluktuasi rasio Z/H mentah dan smoothing, sementara panel bawah menampilkan rata-rata bergerak 3 hari dengan interval kepercayaan ±1σ. Threshold tenang (rata-rata + 2σ) ditampilkan sebagai garis putus-putus hijau yang dengan jelas dilampaui oleh rasio Z/H pada fase prekursor. Anomali rasio Z/H ini menjadi salah satu masukan utama bagi modul klasifikasi dalam arsitektur MultiTaskScalogramV3. Tensor skalogram 3-channel (H, D, Z) secara implisit mengandung informasi rasio polarisasi ini melalui aktivasi bersama (co-activation) antara kanal Z dan H. Dengan demikian, model deep learning tidak perlu secara eksplisit menghitung rasio Z/H — informasi tersebut telah tertanam dalam representasi tensor yang dipelajari.</w:t>
      </w:r>
    </w:p>
    <w:p>
      <w:pPr>
        <w:pStyle w:val="Heading3"/>
      </w:pPr>
      <w:r>
        <w:rPr>
          <w:rFonts w:ascii="Times New Roman" w:hAnsi="Times New Roman"/>
        </w:rPr>
        <w:t>4.3.3 Distribusi Dataset Pelabelan</w:t>
      </w:r>
    </w:p>
    <w:p>
      <w:pPr>
        <w:pStyle w:val="Heading4"/>
      </w:pPr>
      <w:r>
        <w:rPr>
          <w:rFonts w:ascii="Times New Roman" w:hAnsi="Times New Roman"/>
        </w:rPr>
        <w:t>S4.3.3.1 Definisi Kelas Prekursor vs Normal</w:t>
      </w:r>
    </w:p>
    <w:p>
      <w:pPr>
        <w:spacing w:after="120"/>
        <w:ind w:firstLine="720"/>
        <w:jc w:val="both"/>
      </w:pPr>
      <w:r>
        <w:rPr>
          <w:rFonts w:ascii="Times New Roman" w:hAnsi="Times New Roman"/>
          <w:b w:val="0"/>
          <w:sz w:val="22"/>
        </w:rPr>
        <w:t>Pelabelan dataset merupakan tahapan yang menentukan kualitas dan validitas model supervised learning. Dalam ScalogramV3, pelabelan dilakukan berdasarkan katalog gempa BMKG yang mencakup seluruh event seismik dengan magnitudo M ≥ 5,0 dan kedalaman ≤ 100 km (gempa kerak dangkal) pada periode 2018–2023. Kriteria magnitudo 5,0 dipilih sebagai threshold karena gempa dengan magnitudo di bawah 5,0 umumnya tidak menghasilkan energi yang cukup untuk memicu emisi elektromagnetik yang terdeteksi oleh magnetometer di permukaan. Kriteria kedalaman ≤ 100 km memastikan bahwa sumber emisi berada pada kerak bumi bagian atas di mana mekanisme microcracking dan stress transfer terjadi secara aktif. Setiap sampel skalogram kemudian diberi label berdasarkan posisi temporalnya relatif terhadap event gempa. Definisi kelas adalah sebagai berikut. Kelas prekursor (label = 1) mencakup sampel yang berada dalam rentang 1 hingga 25 hari sebelum terjadinya gempa dengan magnitudo M ≥ 5,0 dan kedalaman ≤ 100 km. Jendela 25 hari dipilih berdasarkan konsensus literatur yang melaporkan bahwa anomali geomagnetik prekursor umumnya muncul dalam rentang beberapa hari hingga beberapa minggu sebelum gempa. Hari ke-1 hingga ke-25 dipilih sebagai trade-off antara sensitivitas deteksi (jendela terlalu pendek akan kehilangan prekursor onset lambat) dan spesifisitas (jendela terlalu panjang akan mencakup terlalu banyak data normal). Kelas normal (label = 0) mencakup sampel yang berada pada periode tenang, yaitu setidaknya 30 hari sebelum dan 30 hari setelah event gempa terdekat. Buffer ±3 hari diterapkan di sekitar setiap event untuk menghindari tumpang tindih label antar event yang berdekatan. Jarak maksimum antara stasiun dan episenter gempa dibatasi hingga 500 km untuk memastikan relevansi spasial antara data geomagnetik dan sumber seismik. Kriteria ini didokumentasikan secara lengkap dalam eviden6_cloud_metadata.md yang mencakup atribut pelabelan dan struktur direktori file HDF5. Pelabelan dilakukan secara otomatis melalui skrip yang membandingkan timestamp setiap sampel dengan katalog gempa yang telah diverifikasi.</w:t>
      </w:r>
    </w:p>
    <w:p>
      <w:pPr>
        <w:pStyle w:val="Heading4"/>
      </w:pPr>
      <w:r>
        <w:rPr>
          <w:rFonts w:ascii="Times New Roman" w:hAnsi="Times New Roman"/>
        </w:rPr>
        <w:t>S4.3.3.2 Analisis Penanganan Ketimpangan Data (Class Imbalance ~12% Prekursor)</w:t>
      </w:r>
    </w:p>
    <w:p>
      <w:pPr>
        <w:spacing w:after="120"/>
        <w:ind w:firstLine="720"/>
        <w:jc w:val="both"/>
      </w:pPr>
      <w:r>
        <w:rPr>
          <w:rFonts w:ascii="Times New Roman" w:hAnsi="Times New Roman"/>
          <w:b w:val="0"/>
          <w:sz w:val="22"/>
        </w:rPr>
        <w:t>Distribusi dataset ScalogramV3 menunjukkan ketimpangan kelas yang signifikan: dari total 37.000 sampel, hanya 4.500 sampel (12,2%) yang termasuk kelas prekursor, sementara 32.500 sampel (87,8%) adalah kelas normal. Ketimpangan ini bersifat inheren dalam problem deteksi prekursor karena periode persiapan gempa (1–25 hari) jauh lebih pendek daripada periode tenang antar gempa. Jika tidak ditangani secara tepat, class imbalance dapat menyebabkan model belajar memprediksi 'normal' untuk semua sampel dan tetap mencapai akurasi tinggi secara menipu (87,8%), namun Recall untuk kelas prekursor akan mendekati 0%. ScalogramV3 mengimplementasikan tiga strategi komplementer untuk menangani ketimpangan ini. Strategi pertama adalah penggunaan Weighted Binary Cross-Entropy sebagai fungsi loss. Bobot kelas dihitung berdasarkan inverse frequency: w_normal = N_total / (2N_normal) = 37.000 / (2 × 32.500) = 0,57 dan w_precursor = N_total / (2N_precursor) = 37.000 / (2 × 4.500) = 4,11. Dengan bobot ini, kesalahan klasifikasi pada sampel prekursor dihukum ~7,2 kali lebih berat daripada kesalahan pada sampel normal, mendorong model untuk memberikan perhatian lebih pada kelas minoritas. Strategi kedua adalah augmentasi data sintetis melalui penambahan Gaussian noise (5% dari amplitudo maksimum), time shift (±300 detik), dan amplitude scaling (faktor 0,9–1,1) yang diterapkan secara acak pada training set. Validasi statistik augmentasi ini dilakukan pada eviden10_synthetic_stats.py (eviden10_synthetic_validation.md) yang menunjukkan bahwa mean spektrogram berubah hanya 0,26% (lolos toleransi &lt; 5%), sementara variance (29,4%), skewness (30,5%), dan kurtosis (38,6%) melampaui batas toleransi. Hal ini mengindikasikan bahwa augmentasi linier sederhana belum cukup untuk menjaga distribusi statistik tingkat tinggi, namun mean yang terjaga menunjukkan bahwa augmentasi tidak menggeser representasi sentral data. Strategi ketiga adalah penerapan SMOTE (Synthetic Minority Over-sampling Technique) pada ruang fitur latent, yaitu setelah ekstraksi fitur oleh EfficientNet-B1 dan sebelum masuk ke classification head. SMOTE menghasilkan sampel sintetis baru dengan melakukan interpolasi linier antara sampel prekursor terdekat di ruang fitur. Validasi anti-data leakage pada eviden11_leakage_test_report.txt memastikan bahwa augmentasi dan SMOTE HANYA diterapkan pada training set dan TIDAK menyentuh validation maupun testing set. Protokol ini penting untuk mencegah inflasi metrik evaluasi akibat kontaminasi data sintetis ke set uji. Hasil kombinasi ketiga strategi ini tercermin dalam metrik evaluasi final (eviden13_final_evaluation_metrics.md) yang menunjukkan performa ScalogramV3 pada set uji dengan Recall = 0,8688, Precision = 0,9564, F1-Score = 0,9105, dan ROC-AUC = 0,9949. Recall sebesar 86,9% untuk kelas prekursor menunjukkan bahwa dengan strategi penanganan imbalance yang tepat, model mampu mendeteksi sebagian besar event prekursor meskipun proporsinya hanya 12% dalam dataset.</w:t>
      </w:r>
    </w:p>
    <w:p>
      <w:pPr>
        <w:spacing w:after="120"/>
        <w:ind w:firstLine="720"/>
        <w:jc w:val="both"/>
      </w:pPr>
      <w:r>
        <w:rPr>
          <w:rFonts w:ascii="Times New Roman" w:hAnsi="Times New Roman"/>
          <w:b w:val="0"/>
          <w:sz w:val="22"/>
        </w:rPr>
        <w:t>Distribusi sampel per partisi dirangkum dalam Tabel 4.3. Training set terdiri dari 29.000 sampel (3.200 prekursor, 25.800 normal, rasio 11,0%), validation set 4.000 sampel (650 prekursor, 3.350 normal, rasio 16,3%), dan testing set 4.000 sampel (650 prekursor, 3.350 normal, rasio 16,3%). Proporsi prekursor yang lebih tinggi pada validation dan testing set (16,3%) dibanding training set (11,0%) adalah sengaja dirancang untuk memastikan bahwa metrik evaluasi memiliki sampel prekursor yang cukup untuk estimasi yang stabil. Seluruh dataset disimpan dalam format HDF5 (scalogram_v3_cosmic_final.h5) dengan total ukuran ~2,1 GB dan dapat diakses melalui tautan https://its.id/m/datasetprekursor.</w:t>
      </w:r>
    </w:p>
    <w:p>
      <w:pPr>
        <w:spacing w:after="80"/>
        <w:jc w:val="center"/>
      </w:pPr>
      <w:r>
        <w:rPr>
          <w:rFonts w:ascii="Times New Roman" w:hAnsi="Times New Roman"/>
          <w:b/>
          <w:sz w:val="20"/>
        </w:rPr>
        <w:t>Tabel 4.3 Distribusi Dataset ScalogramV3 per Partisi</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Partisi</w:t>
            </w:r>
          </w:p>
        </w:tc>
        <w:tc>
          <w:tcPr>
            <w:tcW w:type="dxa" w:w="1728"/>
          </w:tcPr>
          <w:p>
            <w:r>
              <w:rPr>
                <w:rFonts w:ascii="Times New Roman" w:hAnsi="Times New Roman"/>
                <w:b/>
                <w:sz w:val="18"/>
              </w:rPr>
              <w:t>Prekursor</w:t>
            </w:r>
          </w:p>
        </w:tc>
        <w:tc>
          <w:tcPr>
            <w:tcW w:type="dxa" w:w="1728"/>
          </w:tcPr>
          <w:p>
            <w:r>
              <w:rPr>
                <w:rFonts w:ascii="Times New Roman" w:hAnsi="Times New Roman"/>
                <w:b/>
                <w:sz w:val="18"/>
              </w:rPr>
              <w:t>Normal</w:t>
            </w:r>
          </w:p>
        </w:tc>
        <w:tc>
          <w:tcPr>
            <w:tcW w:type="dxa" w:w="1728"/>
          </w:tcPr>
          <w:p>
            <w:r>
              <w:rPr>
                <w:rFonts w:ascii="Times New Roman" w:hAnsi="Times New Roman"/>
                <w:b/>
                <w:sz w:val="18"/>
              </w:rPr>
              <w:t>Total</w:t>
            </w:r>
          </w:p>
        </w:tc>
        <w:tc>
          <w:tcPr>
            <w:tcW w:type="dxa" w:w="1728"/>
          </w:tcPr>
          <w:p>
            <w:r>
              <w:rPr>
                <w:rFonts w:ascii="Times New Roman" w:hAnsi="Times New Roman"/>
                <w:b/>
                <w:sz w:val="18"/>
              </w:rPr>
              <w:t>% Prekursor</w:t>
            </w:r>
          </w:p>
        </w:tc>
      </w:tr>
      <w:tr>
        <w:tc>
          <w:tcPr>
            <w:tcW w:type="dxa" w:w="1728"/>
          </w:tcPr>
          <w:p>
            <w:r>
              <w:rPr>
                <w:rFonts w:ascii="Times New Roman" w:hAnsi="Times New Roman"/>
                <w:sz w:val="18"/>
              </w:rPr>
              <w:t>Training</w:t>
            </w:r>
          </w:p>
        </w:tc>
        <w:tc>
          <w:tcPr>
            <w:tcW w:type="dxa" w:w="1728"/>
          </w:tcPr>
          <w:p>
            <w:r>
              <w:rPr>
                <w:rFonts w:ascii="Times New Roman" w:hAnsi="Times New Roman"/>
                <w:sz w:val="18"/>
              </w:rPr>
              <w:t>3.200</w:t>
            </w:r>
          </w:p>
        </w:tc>
        <w:tc>
          <w:tcPr>
            <w:tcW w:type="dxa" w:w="1728"/>
          </w:tcPr>
          <w:p>
            <w:r>
              <w:rPr>
                <w:rFonts w:ascii="Times New Roman" w:hAnsi="Times New Roman"/>
                <w:sz w:val="18"/>
              </w:rPr>
              <w:t>25.800</w:t>
            </w:r>
          </w:p>
        </w:tc>
        <w:tc>
          <w:tcPr>
            <w:tcW w:type="dxa" w:w="1728"/>
          </w:tcPr>
          <w:p>
            <w:r>
              <w:rPr>
                <w:rFonts w:ascii="Times New Roman" w:hAnsi="Times New Roman"/>
                <w:sz w:val="18"/>
              </w:rPr>
              <w:t>29.000</w:t>
            </w:r>
          </w:p>
        </w:tc>
        <w:tc>
          <w:tcPr>
            <w:tcW w:type="dxa" w:w="1728"/>
          </w:tcPr>
          <w:p>
            <w:r>
              <w:rPr>
                <w:rFonts w:ascii="Times New Roman" w:hAnsi="Times New Roman"/>
                <w:sz w:val="18"/>
              </w:rPr>
              <w:t>11,0%</w:t>
            </w:r>
          </w:p>
        </w:tc>
      </w:tr>
      <w:tr>
        <w:tc>
          <w:tcPr>
            <w:tcW w:type="dxa" w:w="1728"/>
          </w:tcPr>
          <w:p>
            <w:r>
              <w:rPr>
                <w:rFonts w:ascii="Times New Roman" w:hAnsi="Times New Roman"/>
                <w:sz w:val="18"/>
              </w:rPr>
              <w:t>Validation</w:t>
            </w:r>
          </w:p>
        </w:tc>
        <w:tc>
          <w:tcPr>
            <w:tcW w:type="dxa" w:w="1728"/>
          </w:tcPr>
          <w:p>
            <w:r>
              <w:rPr>
                <w:rFonts w:ascii="Times New Roman" w:hAnsi="Times New Roman"/>
                <w:sz w:val="18"/>
              </w:rPr>
              <w:t>650</w:t>
            </w:r>
          </w:p>
        </w:tc>
        <w:tc>
          <w:tcPr>
            <w:tcW w:type="dxa" w:w="1728"/>
          </w:tcPr>
          <w:p>
            <w:r>
              <w:rPr>
                <w:rFonts w:ascii="Times New Roman" w:hAnsi="Times New Roman"/>
                <w:sz w:val="18"/>
              </w:rPr>
              <w:t>3.350</w:t>
            </w:r>
          </w:p>
        </w:tc>
        <w:tc>
          <w:tcPr>
            <w:tcW w:type="dxa" w:w="1728"/>
          </w:tcPr>
          <w:p>
            <w:r>
              <w:rPr>
                <w:rFonts w:ascii="Times New Roman" w:hAnsi="Times New Roman"/>
                <w:sz w:val="18"/>
              </w:rPr>
              <w:t>4.000</w:t>
            </w:r>
          </w:p>
        </w:tc>
        <w:tc>
          <w:tcPr>
            <w:tcW w:type="dxa" w:w="1728"/>
          </w:tcPr>
          <w:p>
            <w:r>
              <w:rPr>
                <w:rFonts w:ascii="Times New Roman" w:hAnsi="Times New Roman"/>
                <w:sz w:val="18"/>
              </w:rPr>
              <w:t>16,3%</w:t>
            </w:r>
          </w:p>
        </w:tc>
      </w:tr>
      <w:tr>
        <w:tc>
          <w:tcPr>
            <w:tcW w:type="dxa" w:w="1728"/>
          </w:tcPr>
          <w:p>
            <w:r>
              <w:rPr>
                <w:rFonts w:ascii="Times New Roman" w:hAnsi="Times New Roman"/>
                <w:sz w:val="18"/>
              </w:rPr>
              <w:t>Testing</w:t>
            </w:r>
          </w:p>
        </w:tc>
        <w:tc>
          <w:tcPr>
            <w:tcW w:type="dxa" w:w="1728"/>
          </w:tcPr>
          <w:p>
            <w:r>
              <w:rPr>
                <w:rFonts w:ascii="Times New Roman" w:hAnsi="Times New Roman"/>
                <w:sz w:val="18"/>
              </w:rPr>
              <w:t>650</w:t>
            </w:r>
          </w:p>
        </w:tc>
        <w:tc>
          <w:tcPr>
            <w:tcW w:type="dxa" w:w="1728"/>
          </w:tcPr>
          <w:p>
            <w:r>
              <w:rPr>
                <w:rFonts w:ascii="Times New Roman" w:hAnsi="Times New Roman"/>
                <w:sz w:val="18"/>
              </w:rPr>
              <w:t>3.350</w:t>
            </w:r>
          </w:p>
        </w:tc>
        <w:tc>
          <w:tcPr>
            <w:tcW w:type="dxa" w:w="1728"/>
          </w:tcPr>
          <w:p>
            <w:r>
              <w:rPr>
                <w:rFonts w:ascii="Times New Roman" w:hAnsi="Times New Roman"/>
                <w:sz w:val="18"/>
              </w:rPr>
              <w:t>4.000</w:t>
            </w:r>
          </w:p>
        </w:tc>
        <w:tc>
          <w:tcPr>
            <w:tcW w:type="dxa" w:w="1728"/>
          </w:tcPr>
          <w:p>
            <w:r>
              <w:rPr>
                <w:rFonts w:ascii="Times New Roman" w:hAnsi="Times New Roman"/>
                <w:sz w:val="18"/>
              </w:rPr>
              <w:t>16,3%</w:t>
            </w:r>
          </w:p>
        </w:tc>
      </w:tr>
      <w:tr>
        <w:tc>
          <w:tcPr>
            <w:tcW w:type="dxa" w:w="1728"/>
          </w:tcPr>
          <w:p>
            <w:r>
              <w:rPr>
                <w:rFonts w:ascii="Times New Roman" w:hAnsi="Times New Roman"/>
                <w:sz w:val="18"/>
              </w:rPr>
              <w:t>Total</w:t>
            </w:r>
          </w:p>
        </w:tc>
        <w:tc>
          <w:tcPr>
            <w:tcW w:type="dxa" w:w="1728"/>
          </w:tcPr>
          <w:p>
            <w:r>
              <w:rPr>
                <w:rFonts w:ascii="Times New Roman" w:hAnsi="Times New Roman"/>
                <w:sz w:val="18"/>
              </w:rPr>
              <w:t>4.500</w:t>
            </w:r>
          </w:p>
        </w:tc>
        <w:tc>
          <w:tcPr>
            <w:tcW w:type="dxa" w:w="1728"/>
          </w:tcPr>
          <w:p>
            <w:r>
              <w:rPr>
                <w:rFonts w:ascii="Times New Roman" w:hAnsi="Times New Roman"/>
                <w:sz w:val="18"/>
              </w:rPr>
              <w:t>32.500</w:t>
            </w:r>
          </w:p>
        </w:tc>
        <w:tc>
          <w:tcPr>
            <w:tcW w:type="dxa" w:w="1728"/>
          </w:tcPr>
          <w:p>
            <w:r>
              <w:rPr>
                <w:rFonts w:ascii="Times New Roman" w:hAnsi="Times New Roman"/>
                <w:sz w:val="18"/>
              </w:rPr>
              <w:t>37.000</w:t>
            </w:r>
          </w:p>
        </w:tc>
        <w:tc>
          <w:tcPr>
            <w:tcW w:type="dxa" w:w="1728"/>
          </w:tcPr>
          <w:p>
            <w:r>
              <w:rPr>
                <w:rFonts w:ascii="Times New Roman" w:hAnsi="Times New Roman"/>
                <w:sz w:val="18"/>
              </w:rPr>
              <w:t>12,2%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