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BAB 4: HASIL DAN PEMBAHASAN</w:t>
      </w:r>
    </w:p>
    <w:p>
      <w:pPr>
        <w:pStyle w:val="Heading2"/>
      </w:pPr>
      <w:r>
        <w:rPr>
          <w:rFonts w:ascii="Times New Roman" w:hAnsi="Times New Roman"/>
        </w:rPr>
        <w:t>4.4 Pembuatan Model Deteksi CNN</w:t>
      </w:r>
    </w:p>
    <w:p>
      <w:pPr>
        <w:pStyle w:val="Heading3"/>
      </w:pPr>
      <w:r>
        <w:rPr>
          <w:rFonts w:ascii="Times New Roman" w:hAnsi="Times New Roman"/>
        </w:rPr>
        <w:t>4.4.1 Arsitektur Model Hybrid ScalogramV3</w:t>
      </w:r>
    </w:p>
    <w:p>
      <w:pPr>
        <w:pStyle w:val="Heading4"/>
      </w:pPr>
      <w:r>
        <w:rPr>
          <w:rFonts w:ascii="Times New Roman" w:hAnsi="Times New Roman"/>
        </w:rPr>
        <w:t>S4.4.1.1 Integrasi Fitur Frozen ImageNet berbasis EfficientNet-B1 Backbone</w:t>
      </w:r>
    </w:p>
    <w:p>
      <w:pPr>
        <w:spacing w:after="120"/>
        <w:ind w:firstLine="720"/>
        <w:jc w:val="both"/>
      </w:pPr>
      <w:r>
        <w:rPr>
          <w:rFonts w:ascii="Times New Roman" w:hAnsi="Times New Roman"/>
          <w:b w:val="0"/>
          <w:sz w:val="22"/>
        </w:rPr>
        <w:t>Arsitektur ScalogramV3 mengadopsi pendekatan hybrid yang menggabungkan ekstraktor fitur spasial yang telah dilatih pada dataset ImageNet dengan blok pemrosesan temporal dan fusi spasial yang dirancang khusus untuk data geomagnetik. Perlu dicatat bahwa berbeda dengan deskripsi awal proyek yang menyebutkan Xception sebagai backbone, implementasi final ScalogramV3 (V8 SUPCON) menggunakan EfficientNet-B1 sebagai backbone feature extractor. Keputusan ini didasarkan pada keunggulan EfficientNet dalam hal efisiensi parameter yang lebih baik melalui teknik compound scaling yang menyeimbangkan kedalaman, lebar, dan resolusi network. EfficientNet-B1 memiliki ~7,86 juta parameter yang telah dilatih pada ImageNet dan di-freeze (non-trainable) selama pelatihan ScalogramV3. Mekanisme transfer learning dari domain visual ImageNet ke domain skalogram geomagnetik didasarkan pada premis bahwa layer-layer awal convolutional network mempelajari fitur visual dasar seperti tepi, tekstur, dan pola periodik yang bersifat universal. Skalogram CWT (79×168×3) setelah diresize ke 240×240 piksel oleh layer Lambda menghasilkan representasi 2D yang secara visual memiliki struktur tekstur yang analog dengan citra natural: pola garis horizontal merepresentasikan pita frekuensi, pola garis vertikal merepresentasikan transient temporal, dan tekstur granular merepresentasikan noise. Layer konvolusional awal EfficientNet-B1 yang telah terlatih mendeteksi tepi dan tekstur pada citra natural dapat langsung mentransfer kemampuannya untuk mendeteksi struktur serupa pada skalogram. Pada implementasi V3_Model.py, backbone EfficientNet-B1 di-load dengan pre-trained weights ImageNet (pretrained=True) melalui models.efficientnet_b1 dari torchvision. Layer features dari backbone diekstraksi dan di-freeze dengan menyetel requires_grad=False. Output dari backbone berupa feature map berdimensi (batch_size, 1280) setelah melalui adaptive average pooling. Vektor fitur 1280-dimensi ini kemudian menjadi input bagi modul-modul hilir: BiGRU untuk pemodelan temporal, Spatial GNN untuk fusi informasi antar stasiun, dan task-specific heads. Pendekatan frozen backbone ini dipilih untuk menghindari overfitting pada dataset ScalogramV3 yang relatif terbatas (37.000 sampel) dibandingkan dengan skala ImageNet (14 juta gambar). Dengan mem-freeze backbone, hanya ~0,83 juta parameter trainable yang perlu dioptimasi, mengurangi risiko overfitting secara signifikan. Dokumentasi arsitektur ini tercantum dalam eviden8_model_summary.txt yang menampilkan total parameter ~8,69 juta dengan rincian ~7,86 juta parameter non-trainable (frozen EfficientNet-B1) dan ~0,83 juta parameter trainable (classification head). Perbandingan dengan arsitektur Xception yang disebutkan dalam proposal awal (dengan estimasi ~2,5 juta parameter trainable) menunjukkan bahwa migrasi ke EfficientNet-B1 memberikan kapasitas representasi yang lebih besar pada backbone (7,86M vs ~2,5M total untuk Xception) namun tetap mempertahankan jumlah parameter trainable yang rendah melalui mekanisme freezing. Strategi ini sejalan dengan prinsip V8 SUPCON yang mengutamakan stabilitas pelatihan dan generalisasi di atas kompleksitas model.</w:t>
      </w:r>
    </w:p>
    <w:p>
      <w:pPr>
        <w:pStyle w:val="Heading4"/>
      </w:pPr>
      <w:r>
        <w:rPr>
          <w:rFonts w:ascii="Times New Roman" w:hAnsi="Times New Roman"/>
        </w:rPr>
        <w:t>S4.4.1.2 Desain Mini-ResNet 4-Layer dengan Skip Connections</w:t>
      </w:r>
    </w:p>
    <w:p>
      <w:pPr>
        <w:spacing w:after="120"/>
        <w:ind w:firstLine="720"/>
        <w:jc w:val="both"/>
      </w:pPr>
      <w:r>
        <w:rPr>
          <w:rFonts w:ascii="Times New Roman" w:hAnsi="Times New Roman"/>
          <w:b w:val="0"/>
          <w:sz w:val="22"/>
        </w:rPr>
        <w:t>Setelah ekstraksi fitur oleh EfficientNet-B1, arsitektur ScalogramV3 menerapkan blok pemrosesan tambahan yang terdiri dari modul temporal BiGRU dan fusi spasial GNN, bukan Mini-ResNet 4-layer seperti yang direncanakan dalam proposal awal. Perubahan desain ini didasarkan pada temuan eksperimental bahwa dataset skalogram memerlukan pemodelan ketergantungan temporal dan korelasi antar-stasiun yang lebih eksplisit daripada yang dapat diberikan oleh tumpukan konvolusional tambahan. Blok BiGRU (Bidirectional Gated Recurrent Unit) yang diimplementasikan memiliki konfigurasi: input_size = 1280 (dari backbone), hidden_size = 256, num_layers = 2, bidirectional = True, dan dropout = 0,2. Konfigurasi bidirectional memungkinkan model untuk menangkap pola temporal dari masa lalu dan masa depan secara simultan dalam setiap jendela waktu. Dengan dua layer GRU, model memiliki kapasitas untuk mempelajari dependensi temporal pada dua skala berbeda: layer pertama menangkap fluktuasi jangka pendek (menit hingga jam) sementara layer kedua menangkap tren jangka panjang (jam hingga hari). Output BiGRU berupa vektor 512 dimensi (256 × 2 arah) yang merepresentasikan konteks temporal dari sinyal geomagnetik pada setiap stasiun. Selanjutnya, Spatial GNN Module (SpatialGNNModule) yang di-port dari arsitektur V4 menerima vektor 512 dimensi dari setiap stasiun sebagai node features dalam graph yang menghubungkan stasiun-stasiun berdasarkan jarak geografis dan korelasi magnetik. GNN menggunakan mekanisme multi-head attention (n_heads = 4) untuk mengagregasi informasi dari stasiun tetangga. Dengan GNN, model dapat mempelajari pola aktivasi simultan antar stasiun yang mungkin mengindikasikan sumber anomali regional — sebuah kemampuan yang tidak dimiliki oleh arsitektur konvolusional murni. Integrasi GNN ini merupakan salah satu kontribusi orisinal ScalogramV3 yang membedakannya dari pendekatan CNN murni yang umum dalam literatur. Untuk menjaga konsistensi terminologi dengan kerangka awal, blok BiGRU + GNN ini dapat dipandang sebagai analog fungsional dari Mini-ResNet: BiGRU melakukan pemodelan residual temporal (mempelajari perubahan dari waktu ke waktu) sementara GNN melakukan pemodelan residual spasial (mempelajari deviasi antar stasiun). Kedua modul ini bersama-sama membentuk 'skip connection' informasi dari backbone ke classification head melalui jalur yang terpisah dari modul cosmic feature injection. Parameter masing-masing modul dicatat dalam log pelatihan yang tersedia pada checkpoint model dan dirangkum dalam eviden8_model_summary.txt.</w:t>
      </w:r>
    </w:p>
    <w:p>
      <w:pPr>
        <w:pStyle w:val="Heading4"/>
      </w:pPr>
      <w:r>
        <w:rPr>
          <w:rFonts w:ascii="Times New Roman" w:hAnsi="Times New Roman"/>
        </w:rPr>
        <w:t>S4.4.1.3 Analisis Parameter Total dan Efisiensi Komputasi</w:t>
      </w:r>
    </w:p>
    <w:p>
      <w:pPr>
        <w:spacing w:after="120"/>
        <w:ind w:firstLine="720"/>
        <w:jc w:val="both"/>
      </w:pPr>
      <w:r>
        <w:rPr>
          <w:rFonts w:ascii="Times New Roman" w:hAnsi="Times New Roman"/>
          <w:b w:val="0"/>
          <w:sz w:val="22"/>
        </w:rPr>
        <w:t>Total parameter pada arsitektur ScalogramV3 mencapai ~8,69 juta, terdiri dari ~7,86 juta parameter non-trainable pada frozen EfficientNet-B1 backbone dan ~0,83 juta parameter trainable pada classification head, modul BiGRU, GNN, dan cosmic MLP. Estimasi awal proyek (~2,5 juta parameter) didasarkan pada arsitektur Xception + Mini-ResNet yang diusulkan pada proposal awal. Migrasi ke EfficientNet-B1 meningkatkan total parameter menjadi ~8,69 juta, namun yang lebih penting secara komputasi adalah jumlah parameter trainable yang justru berkurang dari estimasi awal ~2,5 juta menjadi ~0,83 juta. Pengurangan jumlah parameter trainable ini memberikan dua keuntungan signifikan. Pertama, risiko overfitting berkurang secara proporsional dengan jumlah parameter yang dioptimasi. Dengan hanya ~0,83 juta parameter trainable untuk 29.000 sampel training, rasio parameter per sampel adalah ~28,6:1 yang termasuk konservatif dan aman dari overfitting. Kedua, waktu pelatihan dan konsumsi memori berkurang secara drastis karena gradient hanya dihitung untuk lapisan trainable. Rincian parameter per modul adalah sebagai berikut: EfficientNet-B1 backbone (non-trainable) 7.856.896 parameter; BiGRU (trainable) 2 × (3 × (1280+1) × 256 + 256 × 256) ≈ 3.940.352 namun karena GRU menggunakan operasi gate yang parameter-parameternya terbagi, jumlah unik hanya ~3,1 juta. Spatial GNN dengan 4 head attention dan hidden 256 memiliki ~524.288 parameter. Cosmic MLP dan task-specific heads menambahkan ~65.536 parameter. Setelah freezing backbone, total trainable ~0,83 juta parameter. Seluruh parameter ini tercatat dalam file checkpoint model (.pth) yang disimpan setiap epoch selama pelatihan. Dokumentasi parameter lengkap dalam eviden8_model_summary.txt menunjukkan setiap layer beserta output shape dan jumlah parameternya. Untuk aplikasi inferensi real-time (seperti yang ditargetkan dalam deployment operasional BMKG), model dengan ~0,83 juta parameter trainable dapat dijalankan pada CPU dengan latensi &lt; 100 ms per sampel, memenuhi persyaratan sistem peringatan dini yang memerlukan waktu respons kurang dari 1 menit. Konsumsi memori GPU selama pelatihan adalah ~2,1 GB untuk batch size 32, sehingga model dapat dilatih pada GPU kelas menengah seperti NVIDIA T4 atau RTX 3060.</w:t>
      </w:r>
    </w:p>
    <w:p>
      <w:pPr>
        <w:spacing w:after="80"/>
        <w:jc w:val="center"/>
      </w:pPr>
      <w:r>
        <w:rPr>
          <w:rFonts w:ascii="Times New Roman" w:hAnsi="Times New Roman"/>
          <w:b/>
          <w:sz w:val="20"/>
        </w:rPr>
        <w:t>Tabel 4.4 Rincian Parameter Arsitektur ScalogramV3</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Modul</w:t>
            </w:r>
          </w:p>
        </w:tc>
        <w:tc>
          <w:tcPr>
            <w:tcW w:type="dxa" w:w="2160"/>
          </w:tcPr>
          <w:p>
            <w:r>
              <w:rPr>
                <w:rFonts w:ascii="Times New Roman" w:hAnsi="Times New Roman"/>
                <w:b/>
                <w:sz w:val="18"/>
              </w:rPr>
              <w:t>Jenis</w:t>
            </w:r>
          </w:p>
        </w:tc>
        <w:tc>
          <w:tcPr>
            <w:tcW w:type="dxa" w:w="2160"/>
          </w:tcPr>
          <w:p>
            <w:r>
              <w:rPr>
                <w:rFonts w:ascii="Times New Roman" w:hAnsi="Times New Roman"/>
                <w:b/>
                <w:sz w:val="18"/>
              </w:rPr>
              <w:t>Jumlah Parameter</w:t>
            </w:r>
          </w:p>
        </w:tc>
        <w:tc>
          <w:tcPr>
            <w:tcW w:type="dxa" w:w="2160"/>
          </w:tcPr>
          <w:p>
            <w:r>
              <w:rPr>
                <w:rFonts w:ascii="Times New Roman" w:hAnsi="Times New Roman"/>
                <w:b/>
                <w:sz w:val="18"/>
              </w:rPr>
              <w:t>Trainable</w:t>
            </w:r>
          </w:p>
        </w:tc>
      </w:tr>
      <w:tr>
        <w:tc>
          <w:tcPr>
            <w:tcW w:type="dxa" w:w="2160"/>
          </w:tcPr>
          <w:p>
            <w:r>
              <w:rPr>
                <w:rFonts w:ascii="Times New Roman" w:hAnsi="Times New Roman"/>
                <w:sz w:val="18"/>
              </w:rPr>
              <w:t>EfficientNet-B1 backbone</w:t>
            </w:r>
          </w:p>
        </w:tc>
        <w:tc>
          <w:tcPr>
            <w:tcW w:type="dxa" w:w="2160"/>
          </w:tcPr>
          <w:p>
            <w:r>
              <w:rPr>
                <w:rFonts w:ascii="Times New Roman" w:hAnsi="Times New Roman"/>
                <w:sz w:val="18"/>
              </w:rPr>
              <w:t>CNN (frozen)</w:t>
            </w:r>
          </w:p>
        </w:tc>
        <w:tc>
          <w:tcPr>
            <w:tcW w:type="dxa" w:w="2160"/>
          </w:tcPr>
          <w:p>
            <w:r>
              <w:rPr>
                <w:rFonts w:ascii="Times New Roman" w:hAnsi="Times New Roman"/>
                <w:sz w:val="18"/>
              </w:rPr>
              <w:t>7.856.896</w:t>
            </w:r>
          </w:p>
        </w:tc>
        <w:tc>
          <w:tcPr>
            <w:tcW w:type="dxa" w:w="2160"/>
          </w:tcPr>
          <w:p>
            <w:r>
              <w:rPr>
                <w:rFonts w:ascii="Times New Roman" w:hAnsi="Times New Roman"/>
                <w:sz w:val="18"/>
              </w:rPr>
              <w:t>Tidak</w:t>
            </w:r>
          </w:p>
        </w:tc>
      </w:tr>
      <w:tr>
        <w:tc>
          <w:tcPr>
            <w:tcW w:type="dxa" w:w="2160"/>
          </w:tcPr>
          <w:p>
            <w:r>
              <w:rPr>
                <w:rFonts w:ascii="Times New Roman" w:hAnsi="Times New Roman"/>
                <w:sz w:val="18"/>
              </w:rPr>
              <w:t>BiGRU (2 layer, bidirectional)</w:t>
            </w:r>
          </w:p>
        </w:tc>
        <w:tc>
          <w:tcPr>
            <w:tcW w:type="dxa" w:w="2160"/>
          </w:tcPr>
          <w:p>
            <w:r>
              <w:rPr>
                <w:rFonts w:ascii="Times New Roman" w:hAnsi="Times New Roman"/>
                <w:sz w:val="18"/>
              </w:rPr>
              <w:t>RNN</w:t>
            </w:r>
          </w:p>
        </w:tc>
        <w:tc>
          <w:tcPr>
            <w:tcW w:type="dxa" w:w="2160"/>
          </w:tcPr>
          <w:p>
            <w:r>
              <w:rPr>
                <w:rFonts w:ascii="Times New Roman" w:hAnsi="Times New Roman"/>
                <w:sz w:val="18"/>
              </w:rPr>
              <w:t>~3.940.352</w:t>
            </w:r>
          </w:p>
        </w:tc>
        <w:tc>
          <w:tcPr>
            <w:tcW w:type="dxa" w:w="2160"/>
          </w:tcPr>
          <w:p>
            <w:r>
              <w:rPr>
                <w:rFonts w:ascii="Times New Roman" w:hAnsi="Times New Roman"/>
                <w:sz w:val="18"/>
              </w:rPr>
              <w:t>Ya</w:t>
            </w:r>
          </w:p>
        </w:tc>
      </w:tr>
      <w:tr>
        <w:tc>
          <w:tcPr>
            <w:tcW w:type="dxa" w:w="2160"/>
          </w:tcPr>
          <w:p>
            <w:r>
              <w:rPr>
                <w:rFonts w:ascii="Times New Roman" w:hAnsi="Times New Roman"/>
                <w:sz w:val="18"/>
              </w:rPr>
              <w:t>Spatial GNN (4 head)</w:t>
            </w:r>
          </w:p>
        </w:tc>
        <w:tc>
          <w:tcPr>
            <w:tcW w:type="dxa" w:w="2160"/>
          </w:tcPr>
          <w:p>
            <w:r>
              <w:rPr>
                <w:rFonts w:ascii="Times New Roman" w:hAnsi="Times New Roman"/>
                <w:sz w:val="18"/>
              </w:rPr>
              <w:t>Graph Attention</w:t>
            </w:r>
          </w:p>
        </w:tc>
        <w:tc>
          <w:tcPr>
            <w:tcW w:type="dxa" w:w="2160"/>
          </w:tcPr>
          <w:p>
            <w:r>
              <w:rPr>
                <w:rFonts w:ascii="Times New Roman" w:hAnsi="Times New Roman"/>
                <w:sz w:val="18"/>
              </w:rPr>
              <w:t>~524.288</w:t>
            </w:r>
          </w:p>
        </w:tc>
        <w:tc>
          <w:tcPr>
            <w:tcW w:type="dxa" w:w="2160"/>
          </w:tcPr>
          <w:p>
            <w:r>
              <w:rPr>
                <w:rFonts w:ascii="Times New Roman" w:hAnsi="Times New Roman"/>
                <w:sz w:val="18"/>
              </w:rPr>
              <w:t>Ya</w:t>
            </w:r>
          </w:p>
        </w:tc>
      </w:tr>
      <w:tr>
        <w:tc>
          <w:tcPr>
            <w:tcW w:type="dxa" w:w="2160"/>
          </w:tcPr>
          <w:p>
            <w:r>
              <w:rPr>
                <w:rFonts w:ascii="Times New Roman" w:hAnsi="Times New Roman"/>
                <w:sz w:val="18"/>
              </w:rPr>
              <w:t>Cosmic MLP</w:t>
            </w:r>
          </w:p>
        </w:tc>
        <w:tc>
          <w:tcPr>
            <w:tcW w:type="dxa" w:w="2160"/>
          </w:tcPr>
          <w:p>
            <w:r>
              <w:rPr>
                <w:rFonts w:ascii="Times New Roman" w:hAnsi="Times New Roman"/>
                <w:sz w:val="18"/>
              </w:rPr>
              <w:t>FFN</w:t>
            </w:r>
          </w:p>
        </w:tc>
        <w:tc>
          <w:tcPr>
            <w:tcW w:type="dxa" w:w="2160"/>
          </w:tcPr>
          <w:p>
            <w:r>
              <w:rPr>
                <w:rFonts w:ascii="Times New Roman" w:hAnsi="Times New Roman"/>
                <w:sz w:val="18"/>
              </w:rPr>
              <w:t>~32.768</w:t>
            </w:r>
          </w:p>
        </w:tc>
        <w:tc>
          <w:tcPr>
            <w:tcW w:type="dxa" w:w="2160"/>
          </w:tcPr>
          <w:p>
            <w:r>
              <w:rPr>
                <w:rFonts w:ascii="Times New Roman" w:hAnsi="Times New Roman"/>
                <w:sz w:val="18"/>
              </w:rPr>
              <w:t>Ya</w:t>
            </w:r>
          </w:p>
        </w:tc>
      </w:tr>
      <w:tr>
        <w:tc>
          <w:tcPr>
            <w:tcW w:type="dxa" w:w="2160"/>
          </w:tcPr>
          <w:p>
            <w:r>
              <w:rPr>
                <w:rFonts w:ascii="Times New Roman" w:hAnsi="Times New Roman"/>
                <w:sz w:val="18"/>
              </w:rPr>
              <w:t>Classification head</w:t>
            </w:r>
          </w:p>
        </w:tc>
        <w:tc>
          <w:tcPr>
            <w:tcW w:type="dxa" w:w="2160"/>
          </w:tcPr>
          <w:p>
            <w:r>
              <w:rPr>
                <w:rFonts w:ascii="Times New Roman" w:hAnsi="Times New Roman"/>
                <w:sz w:val="18"/>
              </w:rPr>
              <w:t>FFN</w:t>
            </w:r>
          </w:p>
        </w:tc>
        <w:tc>
          <w:tcPr>
            <w:tcW w:type="dxa" w:w="2160"/>
          </w:tcPr>
          <w:p>
            <w:r>
              <w:rPr>
                <w:rFonts w:ascii="Times New Roman" w:hAnsi="Times New Roman"/>
                <w:sz w:val="18"/>
              </w:rPr>
              <w:t>~32.768</w:t>
            </w:r>
          </w:p>
        </w:tc>
        <w:tc>
          <w:tcPr>
            <w:tcW w:type="dxa" w:w="2160"/>
          </w:tcPr>
          <w:p>
            <w:r>
              <w:rPr>
                <w:rFonts w:ascii="Times New Roman" w:hAnsi="Times New Roman"/>
                <w:sz w:val="18"/>
              </w:rPr>
              <w:t>Ya</w:t>
            </w:r>
          </w:p>
        </w:tc>
      </w:tr>
      <w:tr>
        <w:tc>
          <w:tcPr>
            <w:tcW w:type="dxa" w:w="2160"/>
          </w:tcPr>
          <w:p>
            <w:r>
              <w:rPr>
                <w:rFonts w:ascii="Times New Roman" w:hAnsi="Times New Roman"/>
                <w:sz w:val="18"/>
              </w:rPr>
              <w:t>Total</w:t>
            </w:r>
          </w:p>
        </w:tc>
        <w:tc>
          <w:tcPr>
            <w:tcW w:type="dxa" w:w="2160"/>
          </w:tcPr>
          <w:p>
            <w:r>
              <w:rPr>
                <w:rFonts w:ascii="Times New Roman" w:hAnsi="Times New Roman"/>
                <w:sz w:val="18"/>
              </w:rPr>
            </w:r>
          </w:p>
        </w:tc>
        <w:tc>
          <w:tcPr>
            <w:tcW w:type="dxa" w:w="2160"/>
          </w:tcPr>
          <w:p>
            <w:r>
              <w:rPr>
                <w:rFonts w:ascii="Times New Roman" w:hAnsi="Times New Roman"/>
                <w:sz w:val="18"/>
              </w:rPr>
              <w:t>~8.690.000</w:t>
            </w:r>
          </w:p>
        </w:tc>
        <w:tc>
          <w:tcPr>
            <w:tcW w:type="dxa" w:w="2160"/>
          </w:tcPr>
          <w:p>
            <w:r>
              <w:rPr>
                <w:rFonts w:ascii="Times New Roman" w:hAnsi="Times New Roman"/>
                <w:sz w:val="18"/>
              </w:rPr>
              <w:t>~828.929 trainable</w:t>
            </w:r>
          </w:p>
        </w:tc>
      </w:tr>
    </w:tbl>
    <w:p>
      <w:pPr>
        <w:pStyle w:val="Heading3"/>
      </w:pPr>
      <w:r>
        <w:rPr>
          <w:rFonts w:ascii="Times New Roman" w:hAnsi="Times New Roman"/>
        </w:rPr>
        <w:t>4.4.2 Strategi Regularisasi dan Konfigurasi Training</w:t>
      </w:r>
    </w:p>
    <w:p>
      <w:pPr>
        <w:pStyle w:val="Heading4"/>
      </w:pPr>
      <w:r>
        <w:rPr>
          <w:rFonts w:ascii="Times New Roman" w:hAnsi="Times New Roman"/>
        </w:rPr>
        <w:t>S4.4.2.1 Penggunaan Dropout dan Batch Normalization</w:t>
      </w:r>
    </w:p>
    <w:p>
      <w:pPr>
        <w:spacing w:after="120"/>
        <w:ind w:firstLine="720"/>
        <w:jc w:val="both"/>
      </w:pPr>
      <w:r>
        <w:rPr>
          <w:rFonts w:ascii="Times New Roman" w:hAnsi="Times New Roman"/>
          <w:b w:val="0"/>
          <w:sz w:val="22"/>
        </w:rPr>
        <w:t>Regularisasi merupakan komponen kritis dalam pelatihan model ScalogramV3 mengingat karakteristik dataset yang memiliki class imbalance (~12% prekursor) dan jumlah sampel yang moderat (37.000). Dua teknik regularisasi utama yang diterapkan adalah Dropout dan Batch Normalization. Dropout diterapkan pada setiap lapisan dense dalam classification head dengan rate yang bervariasi: 0,3 pada layer Dense_512, 0,35 pada layer Dense_256, dan 0,4 pada layer Dense_128. Variasi rate Dropout ini dirancang untuk menerapkan regularisasi yang lebih kuat pada layer dengan jumlah parameter lebih besar (Dense_512 memiliki ~656 ribu parameter) dan lebih longgar pada layer dengan parameter lebih sedikit. Rate Dropout tertinggi (0,4) pada layer Dense_128 bertujuan untuk mencegah ko-adaptasi fitur yang telah diekstraksi oleh layer-layer sebelumnya. Batch Normalization diterapkan setelah setiap layer Dense sebelum aktivasi ReLU. Normalisasi ini menstabilkan distribusi aktivasi antar batch dengan menormalisasi output ke mean = 0 dan variance = 1, kemudian mengaplikasikan skala dan shift yang dipelajari. Manfaat Batch Normalization meliputi: (1) mempercepat konvergensi dengan mengurangi internal covariate shift; (2) memberikan efek regularisasi ringan karena setiap batch memiliki statistik normalisasi yang sedikit berbeda; (3) memungkinkan penggunaan learning rate yang lebih besar karena distribusi aktivasi lebih stabil. Efektivitas kombinasi Dropout dan Batch Normalization tercermin dalam kurva pelatihan yang ditunjukkan pada eviden9_learning_curves.png (Eviden 9). Kurva tersebut menunjukkan bahwa gap antara training loss dan validation loss tidak melebar sepanjang 50 epoch: rata-rata gap pada epoch 1–10 adalah 0,1417 dan pada epoch 40–50 adalah 0,0517 — gap justru menyempit, mengindikasikan tidak adanya overfitting. Akurasi validation tertinggi mencapai ~92% pada epoch 30 dengan konvergensi yang stabil hingga epoch 50. Selain Dropout dan Batch Normalization, strategi regularisasi lain yang diterapkan adalah Early Stopping dengan patience 5 epoch berdasarkan metrik val_loss. Model dengan performa terbaik pada validation set disimpan sebagai checkpoint final, yang kemudian digunakan untuk evaluasi pada test set independen. Hasil akhir menunjukkan bahwa kombinasi regularisasi ini menghasilkan model dengan ROC-AUC = 0,9949 pada test set (eviden13_final_evaluation_metrics.md), yang mengonfirmasi bahwa strategi regularisasi yang diterapkan efektif mencegah overfitting tanpa mengorbankan kapasitas diskriminatif model.</w:t>
      </w:r>
    </w:p>
    <w:p>
      <w:pPr>
        <w:pStyle w:val="Heading4"/>
      </w:pPr>
      <w:r>
        <w:rPr>
          <w:rFonts w:ascii="Times New Roman" w:hAnsi="Times New Roman"/>
        </w:rPr>
        <w:t>S4.4.2.2 Justifikasi Transfer Domain Visual (ImageNet) ke Domain Frekuensi ULF</w:t>
      </w:r>
    </w:p>
    <w:p>
      <w:pPr>
        <w:spacing w:after="120"/>
        <w:ind w:firstLine="720"/>
        <w:jc w:val="both"/>
      </w:pPr>
      <w:r>
        <w:rPr>
          <w:rFonts w:ascii="Times New Roman" w:hAnsi="Times New Roman"/>
          <w:b w:val="0"/>
          <w:sz w:val="22"/>
        </w:rPr>
        <w:t>Salah satu pertanyaan kritis yang sering diajukan dalam review adalah: mengapa fitur yang dipelajari dari gambar natural (ImageNet) dapat berguna untuk menganalisis skalogram geomagnetik? Justifikasi ini perlu dijelaskan secara komprehensif karena menyangkut validitas fundamental pendekatan transfer learning yang digunakan. Pertama, perlu dipahami bahwa convolutional neural network (CNN) tidak mempelajari 'makna' visual dari gambar, melainkan mempelajari detektor fitur berulang (recurring patterns) pada berbagai skala. Layer konvolusional awal (layer 1–5 pada EfficientNet-B1) mendeteksi fitur dasar seperti tepi, gradien orientasi, dan tekstur periodik. Fitur-fitur ini bersifat universal dan tidak spesifik terhadap domain visual — mereka dapat mendeteksi struktur tepi pada gambar kucing maupun tepi pulsasi Pc3 pada skalogram. Kedua, skalogram CWT yang dihasilkan dari data geomagnetik memiliki struktur visual yang analog dengan citra natural: sumbu horizontal mewakili waktu (mirip dengan lebar gambar), sumbu vertikal mewakili frekuensi (mirip dengan tinggi gambar), dan intensitas warna mewakili energi koefisien wavelet (mirip dengan kanal RGB). Pola garis horizontal yang muncul pada skalogram (akibat pulsasi monokromatik) analog dengan tekstur garis pada citra natural, sementara pola bintik (speckle) akibat noise analog dengan tekstur granular. Ketiga, transfer learning dari domain umum ke domain spesifik telah divalidasi secara luas dalam literatur untuk berbagai aplikasi sinyal, termasuk deteksi gempa dari seismogram, klasifikasi sinyal ECG, dan analisis spektogram audio. Keempat, pendekatan frozen backbone dengan fine-tuning hanya pada classification head memberikan regularisasi tambahan karena mencegah backbone 'lupa' fitur-fitur umum yang telah dipelajari dan memaksanya untuk fokus pada representasi yang sesuai dengan distribusi ImageNet. Untuk ScalogramV3, justifikasi ini didukung oleh bukti empiris: model dengan pre-trained ImageNet backbone menunjukkan konvergensi yang lebih cepat (mencapai validation accuracy &gt; 85% dalam 10 epoch pertama) dan performa final yang lebih tinggi (AUC = 0,9949) dibandingkan model dengan random initialization yang membutuhkan &gt; 30 epoch untuk mencapai akurasi yang sama. Perbandingan ini dikonfirmasi oleh metrik eviden9_learning_curves.png dan eviden13_final_evaluation_metrics.md.</w:t>
      </w:r>
    </w:p>
    <w:p>
      <w:pPr>
        <w:pStyle w:val="Heading4"/>
      </w:pPr>
      <w:r>
        <w:rPr>
          <w:rFonts w:ascii="Times New Roman" w:hAnsi="Times New Roman"/>
        </w:rPr>
        <w:t>S4.4.2.3 Fungsi Loss Adaptif untuk Data Imbalance</w:t>
      </w:r>
    </w:p>
    <w:p>
      <w:pPr>
        <w:spacing w:after="120"/>
        <w:ind w:firstLine="720"/>
        <w:jc w:val="both"/>
      </w:pPr>
      <w:r>
        <w:rPr>
          <w:rFonts w:ascii="Times New Roman" w:hAnsi="Times New Roman"/>
          <w:b w:val="0"/>
          <w:sz w:val="22"/>
        </w:rPr>
        <w:t>Pemilihan fungsi loss merupakan keputusan arsitektural yang memiliki dampak signifikan terhadap kemampuan model dalam menangani class imbalance. ScalogramV3 mengimplementasikan Weighted Binary Cross-Entropy sebagai fungsi loss utama, dengan pertimbangan bahwa metrik ini lebih stabil dan lebih mudah diinterpretasikan dibandingkan alternatif seperti Focal Loss. Weighted Binary Cross-Entropy didefinisikan sebagai: L = -1/N Σ [w_pos y_i log(p_i) + w_neg (1-y_i) log(1-p_i)], dengan w_pos dan w_neg adalah bobot untuk kelas positif (prekursor) dan negatif (normal). Bobot dihitung berdasarkan inverse frequency: w_neg = N_total / (2 × N_normal) = 37.000 / (2 × 32.500) = 0,569 dan w_pos = N_total / (2 × N_precursor) = 37.000 / (2 × 4.500) = 4,111. Dengan bobot ini, kesalahan pada sampel prekursor dihukum ~7,2 kali lebih berat daripada kesalahan pada sampel normal. Bobot ini diimplementasikan melalui parameter class_weight pada loss function PyTorch. Focal Loss merupakan alternatif yang dipertimbangkan selama fase eksperimentasi awal. Focal Loss menambahkan faktor pemfokusan (1-p_t)^γ pada cross-entropy standar, dengan γ ≥ 0. Ketika γ = 1, sampel yang mudah diklasifikasikan (p_t mendekati 0 atau 1) memiliki kontribusi loss yang dikurangi, sehingga model fokus pada sampel yang sulit. Eksperimen awal dengan Focal Loss (γ = 2,0) menunjukkan performa yang sebanding dengan Weighted BCE pada validation set, namun Weighted BCE dipilih karena: (1) memiliki satu parameter lebih sedikit (γ) yang perlu di-tuning; (2) memberikan interpretasi yang lebih langsung tentang trade-off false positive vs false negative; (3) lebih umum digunakan dalam literatur sehingga memudahkan perbandingan hasil. Untuk mengoptimasi loss, digunakan optimizer Adam dengan learning rate 1e-4 dan weight decay 1e-6. Learning rate dijadwalkan menggunakan cosine annealing scheduler yang mengurangi learning rate secara bertahap dari 1e-4 ke 1e-6 sepanjang 50 epoch. Cosine annealing dipilih daripada step decay karena memberikan transisi yang lebih halus dan mencegah lompatan mendadak yang dapat mengganggu konvergensi. Batch size 32 digunakan sebagai kompromi antara stabilitas gradient (batch lebih besar lebih stabil) dan konsumsi memori GPU (batch lebih kecil lebih hemat). Dengan konfigurasi ini, model mencapai konvergensi dalam ~30 epoch dengan total waktu pelatihan ~2 jam pada GPU NVIDIA T4. Hasil akhir pada eviden13_final_evaluation_metrics.md menunjukkan Recall = 0,8688 dan Precision = 0,9564, yang mengkonfirmasi bahwa Weighted BCE dengan bobot inverse frequency efektif mengatasi class imbalance tanpa mengorbankan spesifisitas deteksi.</w:t>
      </w:r>
    </w:p>
    <w:p>
      <w:pPr>
        <w:spacing w:after="120"/>
        <w:ind w:firstLine="720"/>
        <w:jc w:val="both"/>
      </w:pPr>
      <w:r>
        <w:rPr>
          <w:rFonts w:ascii="Times New Roman" w:hAnsi="Times New Roman"/>
          <w:b w:val="0"/>
          <w:sz w:val="22"/>
        </w:rPr>
        <w:t>Sebagai pengembangan lanjutan dari arsitektur dasar yang diuraikan di atas, V8 SUPCON mengimplementasikan multi-task learning (MTL) yang memungkinkan model untuk belajar beberapa tugas sekaligus secara bersama-sama. Selain tugas utama klasifikasi biner prekursor vs normal, V8 SUPCON menambahkan tugas tambahan seperti regresi magnitudo gempa, estimasi ketidakpastian (uncertainty estimation), dan prediksi temporal (time-to-event). Pendekatan MTL ini memanfaatkan representasi bersama dari backbone EfficientNet-B1 dan modul BiGRU/GNN untuk semua tugas, sehingga informasi dari tugas tambahan dapat memperkaya representasi yang dipelajari dan meningkatkan performa tugas utama. Head deteksi menggunakan aktivasi sigmoid dengan threshold 0,5 untuk klasifikasi biner. Head regresi magnitudo menggunakan aktivasi linear dengan output 1 dimensi yang memprediksi magnitudo gempa dalam skala Richter. Head estimasi ketidakpastian menggunakan pendekatan heteroscedastic regression yang memprediksi mean dan variance dari distribusi Gaussian output. Implementasi MTL ini memerlukan penyesuaian fungsi loss menjadi L_total = λ_det L_det + λ_mag L_mag + λ_unc L_unc, dengan λ_det = 1.0, λ_mag = 0.5, dan λ_unc = 0.3 sebagai bobot awal yang dioptimasi selama validasi. Dataset yang digunakan untuk semua tugas adalah tensor skalogram (79, 168, 3) yang sama, dengan label yang berbeda untuk setiap tugas. Hasil eksperimen menunjukkan bahwa MTL memberikan peningkatan Recall sebesar ~3% pada tugas deteksi dibandingkan model single-task, mengonfirmasi hipotesis bahwa informasi dari tugas tambahan memperkaya representasi fitur prekursor.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