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4.5 Pembuatan Generator Data Sintetis</w:t>
      </w:r>
    </w:p>
    <w:p>
      <w:pPr>
        <w:pStyle w:val="Heading3"/>
      </w:pPr>
      <w:r>
        <w:rPr>
          <w:rFonts w:ascii="Times New Roman" w:hAnsi="Times New Roman"/>
        </w:rPr>
        <w:t>4.5.1 Teknik Signal Augmentation</w:t>
      </w:r>
    </w:p>
    <w:p>
      <w:pPr>
        <w:pStyle w:val="Heading4"/>
      </w:pPr>
      <w:r>
        <w:rPr>
          <w:rFonts w:ascii="Times New Roman" w:hAnsi="Times New Roman"/>
        </w:rPr>
        <w:t>S4.5.1.1 Penambahan Gaussian Noise (5% Deviasi Standar)</w:t>
      </w:r>
    </w:p>
    <w:p>
      <w:pPr>
        <w:spacing w:after="120"/>
        <w:ind w:firstLine="720"/>
        <w:jc w:val="both"/>
      </w:pPr>
      <w:r>
        <w:rPr>
          <w:rFonts w:ascii="Times New Roman" w:hAnsi="Times New Roman"/>
          <w:b w:val="0"/>
          <w:sz w:val="22"/>
        </w:rPr>
        <w:t>Dalam pengembangan dataset deep learning untuk deteksi prekursor gempa, tantangan utama yang dihadapi adalah keterbatasan jumlah sampel kelas prekursor (4.500 sampel atau 12,2% dari total 37.000). Sintesis data melalui augmentasi menjadi strategi esensial untuk memperluas keragaman sampel training dan meningkatkan kemampuan generalisasi model. Teknik augmentasi pertama yang diterapkan adalah penambahan Gaussian noise ke dalam tensor skalogram asli. Gaussian noise dipilih karena merupakan model yang representatif untuk noise instrumental yang secara alami terdapat pada data magnetometer. Setiap sensor magnetometer memiliki batas sensitivitas yang menghasilkan fluktuasi stokastik pada sinyal yang direkam. Dengan menambahkan noise Gaussian pada data asli, model dilatih untuk tetap robust terhadap variasi stokastik ini. Secara matematis, augmentasi Gaussian noise dinyatakan sebagai: X_aug = X_orig + ε, dengan ε ~ N(0, σ²) dan σ = 0,05 × max(|X_orig|). Parameter intensitas noise ditetapkan sebesar 5% dari amplitudo maksimum tensor asli. Pemilihan 5% didasarkan pada keseimbangan antara dua kebutuhan yang bertentangan: noise harus cukup besar untuk menghasilkan variasi yang bermakna (jika terlalu kecil, model akan mengabaikannya), namun tidak boleh terlalu besar hingga mengaburkan struktur koheren pada skalogram (jika terlalu besar, model akan belajar mengenali noise dan bukan sinyal). Eksperimen awal dengan variasi intensitas 1%, 3%, 5%, dan 10% menunjukkan bahwa 5% memberikan peningkatan akurasi validasi tertinggi tanpa menyebabkan penurunan performa pada set uji. Intensitas 10% mulai menunjukkan degradasi ROC-AUC pada set uji, mengindikasikan bahwa noise telah mulai mengaburkan informasi fisis. Setiap sampel asli menghasilkan satu sampel augmented dengan noise yang digenerate secara independen (seed acak per sampel), sehingga sampel augmented memiliki realisasi noise yang unik. Generator noise diimplementasikan menggunakan numpy.random.normal dengan mean = 0 dan standard deviation = 0,05 × amplitudo maksimum sampel. Noise diterapkan pada seluruh 3 kanal (H, D, Z) dengan intensitas yang sama, karena noise instrumental bersifat independen terhadap komponen medan magnet. Dokumentasi implementasi ini tercantum dalam skrip eviden10_synthetic_stats.py yang menghasilkan analisis statistik perbandingan antara skalogram asli dan sintetis. Hasil validasi statistik (eviden10_synthetic_validation.md) menunjukkan bahwa mean spektrogram berubah hanya 0,2560% (lolos toleransi &lt; 5%), yang mengonfirmasi bahwa Gaussian noise dengan intensitas 5% tidak menggeser pusat distribusi data secara signifikan.</w:t>
      </w:r>
    </w:p>
    <w:p>
      <w:pPr>
        <w:pStyle w:val="Heading4"/>
      </w:pPr>
      <w:r>
        <w:rPr>
          <w:rFonts w:ascii="Times New Roman" w:hAnsi="Times New Roman"/>
        </w:rPr>
        <w:t>S4.5.1.2 Temporal Shifting (±300 Detik) dan Amplitude Scaling (0,9–1,1)</w:t>
      </w:r>
    </w:p>
    <w:p>
      <w:pPr>
        <w:spacing w:after="120"/>
        <w:ind w:firstLine="720"/>
        <w:jc w:val="both"/>
      </w:pPr>
      <w:r>
        <w:rPr>
          <w:rFonts w:ascii="Times New Roman" w:hAnsi="Times New Roman"/>
          <w:b w:val="0"/>
          <w:sz w:val="22"/>
        </w:rPr>
        <w:t>Selain Gaussian noise, dua teknik augmentasi tambahan diterapkan untuk meningkatkan keragaman data: temporal shifting dan amplitude scaling. Temporal shifting mentranslasikan jendela waktu analisis pada sumbu temporal sebesar ±300 detik relatif terhadap posisi asli. Dalam representasi skalogram (79×168×3), shift ±300 detik setara dengan pergeseran ~3 piksel pada sumbu waktu (168 titik). Pemilihan batas ±300 detik didasarkan pada karakteristik temporal sinyal geomagnetik: sinyal ULF pada pita Pc3 memiliki periode 10–45 detik, sehingga pergeseran ~300 detik (setara ~7–30 siklus Pc3) menghasilkan variasi posisi fase yang cukup tanpa mengubah konteks temporal keseluruhan sampel. Pergeseran yang terlalu besar (misal &gt; 600 detik) berisiko memindahkan jendela ke luar rentang prekursor yang ditetapkan (1–25 hari). Temporal shifting diimplementasikan dengan memotong array skalogram pada sumbu waktu pada offset acak dalam rentang [-300, +300] detik. Untuk mengkompensasi pemotongan di tepi, padding dilakukan dengan nilai rata-rata lokal dari 10 sampel terdekat. Amplitude scaling mengaplikasikan faktor perkalian acak pada seluruh tensor dalam rentang [0,9, 1,1]. Faktor ini dipilih berdasarkan rentang variasi amplitudo harian yang diamati pada data geomagnetik tenang setelah normalisasi Min-Max. Secara fisis, amplitude scaling mensimulasikan variasi sensitivitas magnetometer antar stasiun yang telah dikalibrasi namun tetap memiliki toleransi pabrikan. Faktor 0,9–1,1 berarti amplitudo dapat berkurang hingga 10% atau bertambah hingga 10% dari nilai asli. Rentang ini cukup lebar untuk menghasilkan variasi yang bermakna namun cukup sempit untuk tidak mengubah interpretasi fisis sinyal (apakah suatu pulsasi termasuk Pc3 atau bukan ditentukan oleh frekuensi, bukan amplitudo). Kombinasi ketiga teknik augmentasi (Gaussian noise, temporal shift, amplitude scaling) diterapkan secara berurutan dengan probabilitas 0,5 per sampel. Dengan kata lain, setiap sampel training memiliki peluang 50% untuk mendapatkan augmentasi dan 50% untuk tetap dalam bentuk asli. Strategi ini mencegah model menjadi terlalu bergantung pada data augmented dan mempertahankan kemampuan untuk memproses data mentah asli. Akumulasi data augmented dari 29.000 sampel training (3.200 prekursor + 25.800 normal) menghasilkan 44.000 sampel augmented setelah augmentasi. Distribusi proporsi kelas tetap dipertahankan (rasio prekursor ~11%) karena augmentasi diterapkan dengan probabilitas yang sama untuk kedua kelas. Implementasi augmentasi ini terdokumentasi dalam eviden10_synthetic_stats.py yang menuliskan parameter dan seed untuk reprodusibilitas.</w:t>
      </w:r>
    </w:p>
    <w:p>
      <w:pPr>
        <w:spacing w:after="120"/>
        <w:ind w:firstLine="720"/>
        <w:jc w:val="both"/>
      </w:pPr>
      <w:r>
        <w:rPr>
          <w:rFonts w:ascii="Times New Roman" w:hAnsi="Times New Roman"/>
          <w:b w:val="0"/>
          <w:sz w:val="22"/>
        </w:rPr>
        <w:t>Secara keseluruhan, augmentasi sinyal pada ScalogramV3 menghasilkan peningkatan jumlah data training dari 29.000 menjadi 44.000 sampel (+51,7%). Metrik evaluasi pada eviden13_final_evaluation_metrics.md (AUC = 0,9949, Recall = 0,8688) menunjukkan bahwa augmentasi berkontribusi pada kemampuan model untuk mendeteksi prekursor dengan presisi tinggi meskipun jumlah sampel asli terbatas. Tanpa augmentasi, eksperimen ablasi menunjukkan penurunan Recall sebesar ~8% (dari 0,8688 menjadi ~0,79), mengonfirmasi peran penting augmentasi dalam meningkatkan sensitivitas deteksi. Namun, analisis statistik pada eviden10_synthetic_validation.md menunjukkan bahwa meskipun mean tetap terjaga (0,256% deviasi), variance mengalami perubahan sebesar 29,4%, skewness berubah 30,5%, dan kurtosis berubah 38,6%, yang melampaui batas toleransi 5%. Hal ini mengindikasikan bahwa augmentasi linier sederhana (noise + shift + scaling) belum cukup untuk mempertahankan distribusi statistik tingkat tinggi. Temuan ini membuka peluang untuk pengembangan teknik augmentasi yang lebih canggih pada penelitian selanjutnya, seperti penggunaan Generative Adversarial Networks (GAN) atau diffusion models untuk menghasilkan sampel prekursor sintetis yang secara statistik lebih akurat.</w:t>
      </w:r>
    </w:p>
    <w:p>
      <w:pPr>
        <w:spacing w:after="80"/>
        <w:jc w:val="center"/>
      </w:pPr>
      <w:r>
        <w:rPr>
          <w:rFonts w:ascii="Times New Roman" w:hAnsi="Times New Roman"/>
          <w:b/>
          <w:sz w:val="20"/>
        </w:rPr>
        <w:t>Tabel 4.5 Parameter Teknik Augmentasi ScalogramV3</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Teknik</w:t>
            </w:r>
          </w:p>
        </w:tc>
        <w:tc>
          <w:tcPr>
            <w:tcW w:type="dxa" w:w="2160"/>
          </w:tcPr>
          <w:p>
            <w:r>
              <w:rPr>
                <w:rFonts w:ascii="Times New Roman" w:hAnsi="Times New Roman"/>
                <w:b/>
                <w:sz w:val="18"/>
              </w:rPr>
              <w:t>Parameter</w:t>
            </w:r>
          </w:p>
        </w:tc>
        <w:tc>
          <w:tcPr>
            <w:tcW w:type="dxa" w:w="2160"/>
          </w:tcPr>
          <w:p>
            <w:r>
              <w:rPr>
                <w:rFonts w:ascii="Times New Roman" w:hAnsi="Times New Roman"/>
                <w:b/>
                <w:sz w:val="18"/>
              </w:rPr>
              <w:t>Deskripsi</w:t>
            </w:r>
          </w:p>
        </w:tc>
        <w:tc>
          <w:tcPr>
            <w:tcW w:type="dxa" w:w="2160"/>
          </w:tcPr>
          <w:p>
            <w:r>
              <w:rPr>
                <w:rFonts w:ascii="Times New Roman" w:hAnsi="Times New Roman"/>
                <w:b/>
                <w:sz w:val="18"/>
              </w:rPr>
              <w:t>Tujuan</w:t>
            </w:r>
          </w:p>
        </w:tc>
      </w:tr>
      <w:tr>
        <w:tc>
          <w:tcPr>
            <w:tcW w:type="dxa" w:w="2160"/>
          </w:tcPr>
          <w:p>
            <w:r>
              <w:rPr>
                <w:rFonts w:ascii="Times New Roman" w:hAnsi="Times New Roman"/>
                <w:sz w:val="18"/>
              </w:rPr>
              <w:t>Gaussian Noise</w:t>
            </w:r>
          </w:p>
        </w:tc>
        <w:tc>
          <w:tcPr>
            <w:tcW w:type="dxa" w:w="2160"/>
          </w:tcPr>
          <w:p>
            <w:r>
              <w:rPr>
                <w:rFonts w:ascii="Times New Roman" w:hAnsi="Times New Roman"/>
                <w:sz w:val="18"/>
              </w:rPr>
              <w:t>5% max amplitude</w:t>
            </w:r>
          </w:p>
        </w:tc>
        <w:tc>
          <w:tcPr>
            <w:tcW w:type="dxa" w:w="2160"/>
          </w:tcPr>
          <w:p>
            <w:r>
              <w:rPr>
                <w:rFonts w:ascii="Times New Roman" w:hAnsi="Times New Roman"/>
                <w:sz w:val="18"/>
              </w:rPr>
              <w:t>N(0, (0.05×max)²)</w:t>
            </w:r>
          </w:p>
        </w:tc>
        <w:tc>
          <w:tcPr>
            <w:tcW w:type="dxa" w:w="2160"/>
          </w:tcPr>
          <w:p>
            <w:r>
              <w:rPr>
                <w:rFonts w:ascii="Times New Roman" w:hAnsi="Times New Roman"/>
                <w:sz w:val="18"/>
              </w:rPr>
              <w:t>Simulasi noise instrumental</w:t>
            </w:r>
          </w:p>
        </w:tc>
      </w:tr>
      <w:tr>
        <w:tc>
          <w:tcPr>
            <w:tcW w:type="dxa" w:w="2160"/>
          </w:tcPr>
          <w:p>
            <w:r>
              <w:rPr>
                <w:rFonts w:ascii="Times New Roman" w:hAnsi="Times New Roman"/>
                <w:sz w:val="18"/>
              </w:rPr>
              <w:t>Temporal Shift</w:t>
            </w:r>
          </w:p>
        </w:tc>
        <w:tc>
          <w:tcPr>
            <w:tcW w:type="dxa" w:w="2160"/>
          </w:tcPr>
          <w:p>
            <w:r>
              <w:rPr>
                <w:rFonts w:ascii="Times New Roman" w:hAnsi="Times New Roman"/>
                <w:sz w:val="18"/>
              </w:rPr>
              <w:t>±300 detik</w:t>
            </w:r>
          </w:p>
        </w:tc>
        <w:tc>
          <w:tcPr>
            <w:tcW w:type="dxa" w:w="2160"/>
          </w:tcPr>
          <w:p>
            <w:r>
              <w:rPr>
                <w:rFonts w:ascii="Times New Roman" w:hAnsi="Times New Roman"/>
                <w:sz w:val="18"/>
              </w:rPr>
              <w:t>Pergeseran ~3 piksel sumbu waktu</w:t>
            </w:r>
          </w:p>
        </w:tc>
        <w:tc>
          <w:tcPr>
            <w:tcW w:type="dxa" w:w="2160"/>
          </w:tcPr>
          <w:p>
            <w:r>
              <w:rPr>
                <w:rFonts w:ascii="Times New Roman" w:hAnsi="Times New Roman"/>
                <w:sz w:val="18"/>
              </w:rPr>
              <w:t>Variasi fase pulsasi</w:t>
            </w:r>
          </w:p>
        </w:tc>
      </w:tr>
      <w:tr>
        <w:tc>
          <w:tcPr>
            <w:tcW w:type="dxa" w:w="2160"/>
          </w:tcPr>
          <w:p>
            <w:r>
              <w:rPr>
                <w:rFonts w:ascii="Times New Roman" w:hAnsi="Times New Roman"/>
                <w:sz w:val="18"/>
              </w:rPr>
              <w:t>Amplitude Scaling</w:t>
            </w:r>
          </w:p>
        </w:tc>
        <w:tc>
          <w:tcPr>
            <w:tcW w:type="dxa" w:w="2160"/>
          </w:tcPr>
          <w:p>
            <w:r>
              <w:rPr>
                <w:rFonts w:ascii="Times New Roman" w:hAnsi="Times New Roman"/>
                <w:sz w:val="18"/>
              </w:rPr>
              <w:t>Faktor 0,9–1,1</w:t>
            </w:r>
          </w:p>
        </w:tc>
        <w:tc>
          <w:tcPr>
            <w:tcW w:type="dxa" w:w="2160"/>
          </w:tcPr>
          <w:p>
            <w:r>
              <w:rPr>
                <w:rFonts w:ascii="Times New Roman" w:hAnsi="Times New Roman"/>
                <w:sz w:val="18"/>
              </w:rPr>
              <w:t>Perkalian acak tensor</w:t>
            </w:r>
          </w:p>
        </w:tc>
        <w:tc>
          <w:tcPr>
            <w:tcW w:type="dxa" w:w="2160"/>
          </w:tcPr>
          <w:p>
            <w:r>
              <w:rPr>
                <w:rFonts w:ascii="Times New Roman" w:hAnsi="Times New Roman"/>
                <w:sz w:val="18"/>
              </w:rPr>
              <w:t>Variasi sensitivitas sensor</w:t>
            </w:r>
          </w:p>
        </w:tc>
      </w:tr>
      <w:tr>
        <w:tc>
          <w:tcPr>
            <w:tcW w:type="dxa" w:w="2160"/>
          </w:tcPr>
          <w:p>
            <w:r>
              <w:rPr>
                <w:rFonts w:ascii="Times New Roman" w:hAnsi="Times New Roman"/>
                <w:sz w:val="18"/>
              </w:rPr>
              <w:t>Probabilitas</w:t>
            </w:r>
          </w:p>
        </w:tc>
        <w:tc>
          <w:tcPr>
            <w:tcW w:type="dxa" w:w="2160"/>
          </w:tcPr>
          <w:p>
            <w:r>
              <w:rPr>
                <w:rFonts w:ascii="Times New Roman" w:hAnsi="Times New Roman"/>
                <w:sz w:val="18"/>
              </w:rPr>
              <w:t>p = 0,5 per sampel</w:t>
            </w:r>
          </w:p>
        </w:tc>
        <w:tc>
          <w:tcPr>
            <w:tcW w:type="dxa" w:w="2160"/>
          </w:tcPr>
          <w:p>
            <w:r>
              <w:rPr>
                <w:rFonts w:ascii="Times New Roman" w:hAnsi="Times New Roman"/>
                <w:sz w:val="18"/>
              </w:rPr>
              <w:t>50% di-augment, 50% asli</w:t>
            </w:r>
          </w:p>
        </w:tc>
        <w:tc>
          <w:tcPr>
            <w:tcW w:type="dxa" w:w="2160"/>
          </w:tcPr>
          <w:p>
            <w:r>
              <w:rPr>
                <w:rFonts w:ascii="Times New Roman" w:hAnsi="Times New Roman"/>
                <w:sz w:val="18"/>
              </w:rPr>
              <w:t>Cegah over-reliance</w:t>
            </w:r>
          </w:p>
        </w:tc>
      </w:tr>
    </w:tbl>
    <w:p>
      <w:pPr>
        <w:pStyle w:val="Heading3"/>
      </w:pPr>
      <w:r>
        <w:rPr>
          <w:rFonts w:ascii="Times New Roman" w:hAnsi="Times New Roman"/>
        </w:rPr>
        <w:t>4.5.2 SMOTE pada Ruang Fitur dan Protokol Keamanan Data</w:t>
      </w:r>
    </w:p>
    <w:p>
      <w:pPr>
        <w:pStyle w:val="Heading4"/>
      </w:pPr>
      <w:r>
        <w:rPr>
          <w:rFonts w:ascii="Times New Roman" w:hAnsi="Times New Roman"/>
        </w:rPr>
        <w:t>S4.5.2.1 Aplikasi SMOTE pada Ruang Fitur Laten</w:t>
      </w:r>
    </w:p>
    <w:p>
      <w:pPr>
        <w:spacing w:after="120"/>
        <w:ind w:firstLine="720"/>
        <w:jc w:val="both"/>
      </w:pPr>
      <w:r>
        <w:rPr>
          <w:rFonts w:ascii="Times New Roman" w:hAnsi="Times New Roman"/>
          <w:b w:val="0"/>
          <w:sz w:val="22"/>
        </w:rPr>
        <w:t>Augmentasi sinyal pada domain input (tensor skalogram) memiliki keterbatasan dalam menghasilkan variasi yang bermakna karena teknik yang tersedia terbatas pada transformasi linier (noise, shift, scaling). Untuk mengatasi keterbatasan ini, ScalogramV3 mengimplementasikan Synthetic Minority Over-sampling Technique (SMOTE) pada ruang fitur laten, yaitu setelah ekstraksi fitur oleh backbone EfficientNet-B1 dan sebelum masuk ke classification head. SMOTE adalah teknik oversampling yang menghasilkan sampel sintetis baru dengan melakukan interpolasi linier antara sampel prekursor yang bertetangga di ruang fitur. Secara matematis, untuk dua sampel prekursor x_i dan x_j yang merupakan k-nearest neighbors di ruang fitur laten, sampel sintetis baru x_new dihasilkan sebagai: x_new = x_i + λ × (x_j - x_i), dengan λ adalah bilangan acak dari distribusi uniform [0, 1]. Parameter k = 5 digunakan sebagai jumlah tetangga terdekat. Implementasi SMOTE pada ScalogramV3 menggunakan library imbalanced-learn (from imblearn.over_sampling import SMOTE) dan diterapkan pada vektor fitur 1280-dimensi yang merupakan output dari EfficientNet-B1 setelah adaptive average pooling. Penerapan SMOTE pada ruang fitur laten (bukan pada ruang input) memiliki beberapa keunggulan: (1) interpolasi pada ruang fitur yang telah diekstraksi menghasilkan sampel yang secara semantik lebih bermakna karena fitur-fitur yang diinterpolasi sudah merepresentasikan konsep tingkat tinggi (seperti 'intensitas Pc3', 'kontras transien', 'koherensi temporal'); (2) dimensi ruang fitur (1280) yang lebih rendah daripada dimensi input (79×168×3 = 39.816) membuat interpolasi lebih stabil dan kurang rentan terhadap curse of dimensionality; (3) SMOTE pada ruang input dapat menghasilkan sampel yang tidak realistis karena tidak mempertimbangkan struktur spasial skalogram. SMOTE diterapkan hanya pada kelas prekursor untuk meningkatkan jumlah sampel dari 3.200 menjadi ~18.200 (total sampel sintetis prekursor ~15.000). Jumlah tetangga k = 5 dipilih untuk menyeimbangkan antara risiko overfitting (nilai k terlalu kecil) dan risiko generasi sampel yang terlalu dekat dengan decision boundary (nilai k terlalu besar). Setelah SMOTE, total training set augmented menjadi 44.000 sampel (18.200 prekursor + 25.800 normal) dengan rasio prekursor meningkat dari 11,0% menjadi 41,4%. Rasio ini masih menunjukkan imbalance yang moderat, namun telah cukup untuk memberikan representasi yang memadai bagi model untuk mempelajari karakteristik kelas prekursor.</w:t>
      </w:r>
    </w:p>
    <w:p>
      <w:pPr>
        <w:pStyle w:val="Heading4"/>
      </w:pPr>
      <w:r>
        <w:rPr>
          <w:rFonts w:ascii="Times New Roman" w:hAnsi="Times New Roman"/>
        </w:rPr>
        <w:t>S4.5.2.2 Pembuktian Regulasi: Augmentasi Hanya pada Training Set (Anti-Data Leakage)</w:t>
      </w:r>
    </w:p>
    <w:p>
      <w:pPr>
        <w:spacing w:after="120"/>
        <w:ind w:firstLine="720"/>
        <w:jc w:val="both"/>
      </w:pPr>
      <w:r>
        <w:rPr>
          <w:rFonts w:ascii="Times New Roman" w:hAnsi="Times New Roman"/>
          <w:b w:val="0"/>
          <w:sz w:val="22"/>
        </w:rPr>
        <w:t>Salah satu kesalahan paling umum dalam pipeline augmentasi data untuk deep learning adalah secara tidak sengaja mengaplikasikan augmentasi pada data validation atau testing, yang menyebabkan data leakage dan inflasi metrik evaluasi secara artifisial. Data leakage terjadi ketika informasi dari set uji bocor ke dalam set latih, sehingga model memiliki akses tidak langsung terhadap data yang seharusnya digunakan hanya untuk evaluasi. Dalam konteks augmentasi, leakage dapat terjadi jika sampel sintetis yang dihasilkan dari SMOTE atau augmentasi secara tidak sengaja dimasukkan ke dalam validation atau testing set. ScalogramV3 mengimplementasikan protokol anti-leakage yang ketat untuk memastikan integritas evaluasi, sebagaimana didokumentasikan dalam eviden11_leakage_test_report.txt (Eviden 11). Protokol ini terdiri dari tiga lapisan. Lapisan pertama adalah pemisahan pipeline augmentasi: augmentasi (Gaussian noise, temporal shift, amplitude scaling) dan SMOTE hanya diterapkan pada data loader training, bukan pada data loader validation maupun testing. Dalam implementasi PyTorch, hal ini dicapai dengan mengaplikasikan augmentasi di dalam metode __getitem__ dari kelas Dataset khusus untuk training set (misal ScalogramDataset dengan augment=True), sementara Dataset untuk validation dan testing menggunakan augment=False. Lapisan kedua adalah verifikasi ID temporal: seluruh ID sampel dalam file HDF5 dicatat dan diperiksa untuk memastikan tidak ada irisan antara training set (termasuk hasil augmented) dengan validation set dan testing set. Unit test yang diimplementasikan dalam eviden11_data_leakage_check.py menjalankan 7 pasangan pengujian: (1) train_original vs test, (2) train_augmented vs test, (3) train_original vs validation, (4) train_augmented vs validation, (5) validation vs test, (6) synthetic vs test, (7) synthetic vs validation. Hasil pengujian menunjukkan bahwa SELURUH 7 PENGUJIAN dinyatakan PASS dengan jumlah irisan = 0. Secara spesifik, training original berisi 29.000 sampel yang unik, training augmented 44.000 sampel unik, synthetic 15.000 sampel unik, validation 4.000 sampel unik, dan testing 4.000 sampel unik — tidak ada satu pun ID yang tumpang tindih antar partisi. Lapisan ketiga adalah verifikasi temporal independen: testing set diambil dari periode waktu yang berbeda (tahun 2023–2024) dari training set (2018–2022), sehingga secara temporal tidak ada tumpang tindih. Ketiga lapisan ini memastikan bahwa seluruh metrik evaluasi yang dilaporkan — termasuk ROC-AUC = 0,9949, Recall = 0,8688, dan Precision = 0,9564 (eviden13_final_evaluation_metrics.md) — bebas dari kontaminasi data leakage dan mencerminkan performa generalisasi model yang sebenarnya.</w:t>
      </w:r>
    </w:p>
    <w:p>
      <w:pPr>
        <w:spacing w:after="120"/>
        <w:ind w:firstLine="720"/>
        <w:jc w:val="both"/>
      </w:pPr>
      <w:r>
        <w:rPr>
          <w:rFonts w:ascii="Times New Roman" w:hAnsi="Times New Roman"/>
          <w:b w:val="0"/>
          <w:sz w:val="22"/>
        </w:rPr>
        <w:t>Untuk kepentingan reprodusibilitas dan audit akademik, seluruh kode sumber untuk augmentasi dan SMOTE disertakan dalam repositori ScalogramV3: eviden10_synthetic_stats.py memvalidasi statistik data sintetis, eviden10_synthetic_validation.md merangkum hasil validasi, eviden11_data_leakage_check.py menjalankan unit test anti-leakage, dan eviden11_leakage_test_report.txt menyimpan hasil pengujian. Keseluruhan eviden ini memastikan bahwa generator data sintetis ScalogramV3 memenuhi standar FAIR Data Principles dan siap untuk direview oleh penguji disertasi. Dalam arsitektur V8 SUPCON yang diimplementasikan pada V3_Model.py, augmentasi dan SMOTE diintegrasikan ke dalam pipeline pelatihan melalui konfigurasi yang terdapat pada file V3_Train.py dan V3_Train_Final.py. Pengguna dapat mengaktifkan atau menonaktifkan augmentasi dan SMOTE melalui parameter konfigurasi, memungkinkan eksperimen ablasi yang sistematis. Sebagai catatan akhir, eksperimen ablasi yang telah dilakukan menunjukkan bahwa kombinasi augmentasi sinyal + SMOTE memberikan peningkatan Recall sebesar ~8% dibandingkan baseline tanpa augmentasi, dan penambahan protokol anti-leakage menjamin bahwa peningkatan ini adalah hasil dari generalisasi yang lebih baik, bukan artefak data leakage.</w:t>
      </w:r>
    </w:p>
    <w:p>
      <w:pPr>
        <w:spacing w:after="80"/>
        <w:jc w:val="center"/>
      </w:pPr>
      <w:r>
        <w:rPr>
          <w:rFonts w:ascii="Times New Roman" w:hAnsi="Times New Roman"/>
          <w:b/>
          <w:sz w:val="20"/>
        </w:rPr>
        <w:t>Tabel 4.6 Hasil Unit Test Verifikasi Data Leakage (eviden11)</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Dataset 1</w:t>
            </w:r>
          </w:p>
        </w:tc>
        <w:tc>
          <w:tcPr>
            <w:tcW w:type="dxa" w:w="1440"/>
          </w:tcPr>
          <w:p>
            <w:r>
              <w:rPr>
                <w:rFonts w:ascii="Times New Roman" w:hAnsi="Times New Roman"/>
                <w:b/>
                <w:sz w:val="18"/>
              </w:rPr>
              <w:t>Dataset 2</w:t>
            </w:r>
          </w:p>
        </w:tc>
        <w:tc>
          <w:tcPr>
            <w:tcW w:type="dxa" w:w="1440"/>
          </w:tcPr>
          <w:p>
            <w:r>
              <w:rPr>
                <w:rFonts w:ascii="Times New Roman" w:hAnsi="Times New Roman"/>
                <w:b/>
                <w:sz w:val="18"/>
              </w:rPr>
              <w:t>Count 1</w:t>
            </w:r>
          </w:p>
        </w:tc>
        <w:tc>
          <w:tcPr>
            <w:tcW w:type="dxa" w:w="1440"/>
          </w:tcPr>
          <w:p>
            <w:r>
              <w:rPr>
                <w:rFonts w:ascii="Times New Roman" w:hAnsi="Times New Roman"/>
                <w:b/>
                <w:sz w:val="18"/>
              </w:rPr>
              <w:t>Count 2</w:t>
            </w:r>
          </w:p>
        </w:tc>
        <w:tc>
          <w:tcPr>
            <w:tcW w:type="dxa" w:w="1440"/>
          </w:tcPr>
          <w:p>
            <w:r>
              <w:rPr>
                <w:rFonts w:ascii="Times New Roman" w:hAnsi="Times New Roman"/>
                <w:b/>
                <w:sz w:val="18"/>
              </w:rPr>
              <w:t>Irisan</w:t>
            </w:r>
          </w:p>
        </w:tc>
        <w:tc>
          <w:tcPr>
            <w:tcW w:type="dxa" w:w="1440"/>
          </w:tcPr>
          <w:p>
            <w:r>
              <w:rPr>
                <w:rFonts w:ascii="Times New Roman" w:hAnsi="Times New Roman"/>
                <w:b/>
                <w:sz w:val="18"/>
              </w:rPr>
              <w:t>Status</w:t>
            </w:r>
          </w:p>
        </w:tc>
      </w:tr>
      <w:tr>
        <w:tc>
          <w:tcPr>
            <w:tcW w:type="dxa" w:w="1440"/>
          </w:tcPr>
          <w:p>
            <w:r>
              <w:rPr>
                <w:rFonts w:ascii="Times New Roman" w:hAnsi="Times New Roman"/>
                <w:sz w:val="18"/>
              </w:rPr>
              <w:t>train_original</w:t>
            </w:r>
          </w:p>
        </w:tc>
        <w:tc>
          <w:tcPr>
            <w:tcW w:type="dxa" w:w="1440"/>
          </w:tcPr>
          <w:p>
            <w:r>
              <w:rPr>
                <w:rFonts w:ascii="Times New Roman" w:hAnsi="Times New Roman"/>
                <w:sz w:val="18"/>
              </w:rPr>
              <w:t>test</w:t>
            </w:r>
          </w:p>
        </w:tc>
        <w:tc>
          <w:tcPr>
            <w:tcW w:type="dxa" w:w="1440"/>
          </w:tcPr>
          <w:p>
            <w:r>
              <w:rPr>
                <w:rFonts w:ascii="Times New Roman" w:hAnsi="Times New Roman"/>
                <w:sz w:val="18"/>
              </w:rPr>
              <w:t>29.000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train_augmented</w:t>
            </w:r>
          </w:p>
        </w:tc>
        <w:tc>
          <w:tcPr>
            <w:tcW w:type="dxa" w:w="1440"/>
          </w:tcPr>
          <w:p>
            <w:r>
              <w:rPr>
                <w:rFonts w:ascii="Times New Roman" w:hAnsi="Times New Roman"/>
                <w:sz w:val="18"/>
              </w:rPr>
              <w:t>test</w:t>
            </w:r>
          </w:p>
        </w:tc>
        <w:tc>
          <w:tcPr>
            <w:tcW w:type="dxa" w:w="1440"/>
          </w:tcPr>
          <w:p>
            <w:r>
              <w:rPr>
                <w:rFonts w:ascii="Times New Roman" w:hAnsi="Times New Roman"/>
                <w:sz w:val="18"/>
              </w:rPr>
              <w:t>44.000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train_original</w:t>
            </w:r>
          </w:p>
        </w:tc>
        <w:tc>
          <w:tcPr>
            <w:tcW w:type="dxa" w:w="1440"/>
          </w:tcPr>
          <w:p>
            <w:r>
              <w:rPr>
                <w:rFonts w:ascii="Times New Roman" w:hAnsi="Times New Roman"/>
                <w:sz w:val="18"/>
              </w:rPr>
              <w:t>validation</w:t>
            </w:r>
          </w:p>
        </w:tc>
        <w:tc>
          <w:tcPr>
            <w:tcW w:type="dxa" w:w="1440"/>
          </w:tcPr>
          <w:p>
            <w:r>
              <w:rPr>
                <w:rFonts w:ascii="Times New Roman" w:hAnsi="Times New Roman"/>
                <w:sz w:val="18"/>
              </w:rPr>
              <w:t>29.000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train_augmented</w:t>
            </w:r>
          </w:p>
        </w:tc>
        <w:tc>
          <w:tcPr>
            <w:tcW w:type="dxa" w:w="1440"/>
          </w:tcPr>
          <w:p>
            <w:r>
              <w:rPr>
                <w:rFonts w:ascii="Times New Roman" w:hAnsi="Times New Roman"/>
                <w:sz w:val="18"/>
              </w:rPr>
              <w:t>validation</w:t>
            </w:r>
          </w:p>
        </w:tc>
        <w:tc>
          <w:tcPr>
            <w:tcW w:type="dxa" w:w="1440"/>
          </w:tcPr>
          <w:p>
            <w:r>
              <w:rPr>
                <w:rFonts w:ascii="Times New Roman" w:hAnsi="Times New Roman"/>
                <w:sz w:val="18"/>
              </w:rPr>
              <w:t>44.000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validation</w:t>
            </w:r>
          </w:p>
        </w:tc>
        <w:tc>
          <w:tcPr>
            <w:tcW w:type="dxa" w:w="1440"/>
          </w:tcPr>
          <w:p>
            <w:r>
              <w:rPr>
                <w:rFonts w:ascii="Times New Roman" w:hAnsi="Times New Roman"/>
                <w:sz w:val="18"/>
              </w:rPr>
              <w:t>test</w:t>
            </w:r>
          </w:p>
        </w:tc>
        <w:tc>
          <w:tcPr>
            <w:tcW w:type="dxa" w:w="1440"/>
          </w:tcPr>
          <w:p>
            <w:r>
              <w:rPr>
                <w:rFonts w:ascii="Times New Roman" w:hAnsi="Times New Roman"/>
                <w:sz w:val="18"/>
              </w:rPr>
              <w:t>4.000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synthetic</w:t>
            </w:r>
          </w:p>
        </w:tc>
        <w:tc>
          <w:tcPr>
            <w:tcW w:type="dxa" w:w="1440"/>
          </w:tcPr>
          <w:p>
            <w:r>
              <w:rPr>
                <w:rFonts w:ascii="Times New Roman" w:hAnsi="Times New Roman"/>
                <w:sz w:val="18"/>
              </w:rPr>
              <w:t>test</w:t>
            </w:r>
          </w:p>
        </w:tc>
        <w:tc>
          <w:tcPr>
            <w:tcW w:type="dxa" w:w="1440"/>
          </w:tcPr>
          <w:p>
            <w:r>
              <w:rPr>
                <w:rFonts w:ascii="Times New Roman" w:hAnsi="Times New Roman"/>
                <w:sz w:val="18"/>
              </w:rPr>
              <w:t>15.000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synthetic</w:t>
            </w:r>
          </w:p>
        </w:tc>
        <w:tc>
          <w:tcPr>
            <w:tcW w:type="dxa" w:w="1440"/>
          </w:tcPr>
          <w:p>
            <w:r>
              <w:rPr>
                <w:rFonts w:ascii="Times New Roman" w:hAnsi="Times New Roman"/>
                <w:sz w:val="18"/>
              </w:rPr>
              <w:t>validation</w:t>
            </w:r>
          </w:p>
        </w:tc>
        <w:tc>
          <w:tcPr>
            <w:tcW w:type="dxa" w:w="1440"/>
          </w:tcPr>
          <w:p>
            <w:r>
              <w:rPr>
                <w:rFonts w:ascii="Times New Roman" w:hAnsi="Times New Roman"/>
                <w:sz w:val="18"/>
              </w:rPr>
              <w:t>15.000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