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4.6 Fitur Self-updating Model Deteksi CNN</w:t>
      </w:r>
    </w:p>
    <w:p>
      <w:pPr>
        <w:pStyle w:val="Heading3"/>
      </w:pPr>
      <w:r>
        <w:rPr>
          <w:rFonts w:ascii="Times New Roman" w:hAnsi="Times New Roman"/>
        </w:rPr>
        <w:t>4.6.1 Konsep Continual Learning dan Mitigasi Forgetting</w:t>
      </w:r>
    </w:p>
    <w:p>
      <w:pPr>
        <w:pStyle w:val="Heading4"/>
      </w:pPr>
      <w:r>
        <w:rPr>
          <w:rFonts w:ascii="Times New Roman" w:hAnsi="Times New Roman"/>
        </w:rPr>
        <w:t>S4.6.1.1 Strategi Pembaruan Berkelanjutan melalui Skema Rolling Window</w:t>
      </w:r>
    </w:p>
    <w:p>
      <w:pPr>
        <w:spacing w:after="120"/>
        <w:ind w:firstLine="720"/>
        <w:jc w:val="both"/>
      </w:pPr>
      <w:r>
        <w:rPr>
          <w:rFonts w:ascii="Times New Roman" w:hAnsi="Times New Roman"/>
          <w:b w:val="0"/>
          <w:sz w:val="22"/>
        </w:rPr>
        <w:t>Sistem deteksi prekursor gempa yang dioperasikan secara real-time menghadapi tantangan unik yang tidak dijumpai pada model statis: distribusi data geomagnetik berubah seiring waktu akibat variasi siklus matahari 11 tahun, perubahan musiman, dan pergeseran karakteristik noise instrumental. Sebuah model yang dilatih hanya pada data historis (2018–2022) akan mengalami degradasi performa secara bertahap ketika dihadapkan pada data baru dari tahun-tahun berikutnya. Fenomena ini dikenal sebagai concept drift dalam literatur continual learning. Untuk mengatasi tantangan ini, ScalogramV3 mengimplementasikan mekanisme self-updating berbasis skema Rolling Window yang memungkinkan model untuk terus memperbarui pengetahuannya secara periodik tanpa harus dilatih ulang dari awal. Konsep Rolling Window dalam konteks ini adalah pendekatan di mana jendela temporal data training digeser secara bertahap seiring berjalannya waktu. Secara spesifik, data training terdiri dari jendela tetap sepanjang 4 tahun (rolling window length) yang mencakup 2 tahun data terbaru plus 2 tahun data historis yang dipilih secara proporsional berdasarkan relevansi dan keragaman. Setiap kali data baru terakumulasi selama 1 bulan, jendela digeser: data terlama (bulan ke-48 dari jendela) dikeluarkan dan data terbaru (bulan ke-49) ditambahkan. Dengan demikian, model selalu dilatih pada data yang merepresentasikan kondisi geomagnetik terkini. Skema Rolling Window diimplementasikan melalui pipeline V8 SUPCON pada file V3_Train_Final.py dan dikonfigurasi melalui parameter konfigurasi pada config_2026_blindtest.json. Parameter utama meliputi: window_length = 48 bulan, update_frequency = 1 bulan, dan overlap = 12 bulan (data dari 12 bulan sebelumnya dipertahankan untuk menjaga kontinuitas). Frekuensi pembaruan bulanan dipilih berdasarkan pertimbangan praktis: interval yang lebih pendek (mingguan) akan membebani sumber daya komputasi, sementara interval yang lebih panjang (triwulan) berisiko membiarkan model beroperasi dengan konsep yang usang terlalu lama. Dengan skema ini, model V8 SUPCON yang dilatih pada data 2018–2022 secara bertahap akan 'bermigrasi' menjadi model yang dilatih pada data 2023–2026 setelah 48 bulan operasi. Selama proses migrasi, model mempertahankan representasi fitur backbone EfficientNet-B1 (yang di-freeze) dan hanya memperbarui bobot pada classification head, BiGRU, dan GNN yang bersifat trainable. Pendekatan ini meminimalkan risiko catastrophic forgetting karena representasi backbone yang telah dipelajari dari ImageNet dan diperkuat oleh data historis tetap dipertahankan. Efektivitas skema Rolling Window divalidasi melalui simulasi pada eviden9_learning_curves.py (Eviden 9) yang menunjukkan konvergensi yang stabil hingga epoch 50.</w:t>
      </w:r>
    </w:p>
    <w:p>
      <w:pPr>
        <w:spacing w:after="120"/>
        <w:ind w:firstLine="720"/>
        <w:jc w:val="both"/>
      </w:pPr>
      <w:r>
        <w:rPr>
          <w:rFonts w:ascii="Times New Roman" w:hAnsi="Times New Roman"/>
          <w:b w:val="0"/>
          <w:sz w:val="22"/>
        </w:rPr>
        <w:t>Keuntungan utama skema Rolling Window dibandingkan retraining penuh dari awal adalah efisiensi komputasi dan waktu. Retraining penuh pada dataset historis penuh (2018–2026) memerlukan waktu ~4 jam per siklus pada GPU NVIDIA T4, sementara update Rolling Window pada jendela 4 tahun hanya memerlukan ~1,5 jam karena ukuran dataset yang lebih kecil. Dalam setahun, penghematan waktu komputasi mencapai 12 × (4 - 1,5) = 30 jam GPU. Selain itu, skema ini juga mengurangi kebutuhan penyimpanan data karena data historis yang telah keluar dari jendela dapat diarsipkan dan tidak perlu disimpan dalam format siap-pakai. Dokumentasi lengkap skema ini tersedia dalam repositori operasional V8 SUPCON pada direktori pull_real/ dan deployv8/ yang berisi skrip untuk otomatisasi pembaruan model secara terjadwal.</w:t>
      </w:r>
    </w:p>
    <w:p>
      <w:pPr>
        <w:pStyle w:val="Heading4"/>
      </w:pPr>
      <w:r>
        <w:rPr>
          <w:rFonts w:ascii="Times New Roman" w:hAnsi="Times New Roman"/>
        </w:rPr>
        <w:t>S4.6.1.2 Fine-tuning Parsial Khusus pada Classification Head</w:t>
      </w:r>
    </w:p>
    <w:p>
      <w:pPr>
        <w:spacing w:after="120"/>
        <w:ind w:firstLine="720"/>
        <w:jc w:val="both"/>
      </w:pPr>
      <w:r>
        <w:rPr>
          <w:rFonts w:ascii="Times New Roman" w:hAnsi="Times New Roman"/>
          <w:b w:val="0"/>
          <w:sz w:val="22"/>
        </w:rPr>
        <w:t>Salah satu tantangan utama continual learning adalah catastrophic forgetting — fenomena di mana model 'melupakan' informasi yang telah dipelajari sebelumnya ketika dilatih pada data baru. Dalam konteks deteksi prekursor gempa, catastrophic forgetting dapat menyebabkan model kehilangan kemampuan untuk mendeteksi pola prekursor yang telah dipelajari dari data historis, yang sangat berbahaya dalam sistem peringatan dini. ScalogramV3 mengatasi tantangan ini melalui strategi fine-tuning parsial yang hanya memperbarui bobot pada classification head, sementara backbone EfficientNet-B1 tetap di-freeze. Keputusan untuk mem-freeze backbone didasarkan pada argumen berikut. Pertama, backbone EfficientNet-B1 telah dilatih pada ImageNet dengan 14 juta gambar dan kemudian disesuaikan dengan data geofisika pada pelatihan awal. Representasi fitur spasial yang telah dipelajari (deteksi tepi, tekstur, pola periodik) bersifat universal dan tidak perlu diubah secara signifikan oleh data baru dalam jendela 4 tahun. Kedua, jumlah parameter pada backbone (~7,86 juta) jauh lebih besar daripada classification head (~0,83 juta), sehingga fine-tuning pada backbone memerlukan lebih banyak data dan waktu serta berisiko overfitting. Ketiga, dengan hanya memperbarui classification head, model mempertahankan 'pengetahuan' dasarnya tentang fitur geomagnetik sambil menyesuaikan 'keputusan' klasifikasinya berdasarkan data terkini. Prosedur fine-tuning parsial diimplementasikan dengan: (1) memuat checkpoint model terbaik dari siklus sebelumnya; (2) menyetel requires_grad = False untuk semua parameter backbone; (3) menyetel requires_grad = True untuk parameter di classification head (termasuk layer Dense dan Batch Normalization); (4) melatih dengan learning rate yang lebih rendah (1e-5, dibandingkan 1e-4 pada pelatihan awal) untuk mencegah perubahan bobot yang terlalu drastis; (5) menjalankan hanya 10 epoch (dibandingkan 50 epoch pada pelatihan awal) karena model sudah memiliki representasi yang baik dan hanya perlu adaptasi kecil. Learning rate yang lebih rendah (1e-5) bersama dengan jumlah epoch yang lebih sedikit (10) merupakan bentuk regularisasi tambahan yang mencegah overfitting pada data baru yang jumlahnya terbatas. Eksperimen ablasi pada dataset historical validation (eviden13_final_evaluation_metrics.md) menunjukkan bahwa fine-tuning parsial ini mempertahankan Recall pada tingkat yang sebanding dengan model full retraining (0,8688 vs 0,8712), dengan peningkatan Precision yang lebih baik (0,9564 vs 0,9489). Temuan ini mengonfirmasi bahwa fine-tuning parsial pada classification head adalah strategi yang efektif untuk continual learning pada ScalogramV3: model mempertahankan sensitivitasnya terhadap prekursor (Recall stabil) sambil mengurangi false positive rate (Precision meningkat).</w:t>
      </w:r>
    </w:p>
    <w:p>
      <w:pPr>
        <w:pStyle w:val="Heading3"/>
      </w:pPr>
      <w:r>
        <w:rPr>
          <w:rFonts w:ascii="Times New Roman" w:hAnsi="Times New Roman"/>
        </w:rPr>
        <w:t>4.6.2 Arsitektur Self-updating Operasional</w:t>
      </w:r>
    </w:p>
    <w:p>
      <w:pPr>
        <w:pStyle w:val="Heading4"/>
      </w:pPr>
      <w:r>
        <w:rPr>
          <w:rFonts w:ascii="Times New Roman" w:hAnsi="Times New Roman"/>
        </w:rPr>
        <w:t>S4.6.2.1 Penetapan Threshold Penurunan Performa sebagai Trigger Otomatis Retraining</w:t>
      </w:r>
    </w:p>
    <w:p>
      <w:pPr>
        <w:spacing w:after="120"/>
        <w:ind w:firstLine="720"/>
        <w:jc w:val="both"/>
      </w:pPr>
      <w:r>
        <w:rPr>
          <w:rFonts w:ascii="Times New Roman" w:hAnsi="Times New Roman"/>
          <w:b w:val="0"/>
          <w:sz w:val="22"/>
        </w:rPr>
        <w:t>Sistem self-updating yang efektif memerlukan mekanisme untuk mendeteksi kapan model memerlukan pembaruan. Alih-alih menggunakan jadwal retraining yang tetap (misal: setiap bulan), ScalogramV3 mengimplementasikan mekanisme threshold-based trigger yang memicu retraining secara otomatis ketika performa model turun di bawah batas yang telah ditentukan. Pendekatan ini lebih adaptif karena memungkinkan model untuk merespon perubahan distribusi data yang tiba-tiba (seperti badai geomagnet yang tidak terduga) tanpa perlu menunggu jadwal retraining berikutnya. Metrik yang digunakan sebagai indikator performa adalah area di bawah kurva ROC (ROC-AUC) pada validation window bergerak sepanjang 30 hari. ROC-AUC dipilih sebagai metrik trigger karena bersifat threshold-independent dan memberikan gambaran komprehensif tentang kemampuan diskriminasi model di semua threshold. Setiap hari, model yang sedang beroperasi melakukan inferensi pada data 30 hari terakhir dan membandingkan hasilnya dengan label yang telah dikonfirmasi (berdasarkan katalog gempa BMKG). ROC-AUC harian dihitung dan dibandingkan dengan ROC-AUC baseline yang diperoleh saat model pertama kali di-deploy. Threshold trigger ditetapkan pada penurunan ROC-AUC sebesar 5% dari baseline. Jika ROC-AUC harian turun di bawah 0,95 × AUC_baseline selama 3 hari berturut-turut, sistem secara otomatis menginisiasi proses retraining. Pemilihan ambang 3 hari berturut-turut bertujuan untuk menghindari false trigger akibat fluktuasi harian yang normal. Sebagai contoh, jika AUC_baseline = 0,9949 (nilai yang diperoleh pada eviden13_final_evaluation_metrics.md), maka trigger akan aktif jika AUC harian turun di bawah 0,9452 selama 3 hari berturut-turut. Selain ROC-AUC, dua metrik tambahan dipantau sebagai indikator peringatan dini: (1) False Alarm Rate (FAR) yang dipantau untuk mendeteksi peningkatan false positive yang tiba-tiba, dengan threshold 2× FAR_baseline; (2) data coverage rate yang dipantau untuk mendeteksi penurunan ketersediaan data di bawah 90%, yang dapat mengindikasikan masalah instrumental. Parameter threshold dan durasi konfirmasi dapat dikonfigurasi melalui file konfigurasi operasional (config_2026_blindtest.json) tanpa perlu memodifikasi kode sumber. Fleksibilitas ini penting untuk adaptasi jangka panjang karena karakteristik data geomagnetik dapat berubah seiring siklus matahari. Seluruh log aktivasi trigger dan retraining dicatat dalam file log operasional untuk keperluan audit dan debugging.</w:t>
      </w:r>
    </w:p>
    <w:p>
      <w:pPr>
        <w:spacing w:after="80"/>
        <w:jc w:val="center"/>
      </w:pPr>
      <w:r>
        <w:rPr>
          <w:rFonts w:ascii="Times New Roman" w:hAnsi="Times New Roman"/>
          <w:b/>
          <w:sz w:val="20"/>
        </w:rPr>
        <w:t>Tabel 4.7 Threshold Trigger Retraining Otomatis ScalogramV3</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Metrik</w:t>
            </w:r>
          </w:p>
        </w:tc>
        <w:tc>
          <w:tcPr>
            <w:tcW w:type="dxa" w:w="2160"/>
          </w:tcPr>
          <w:p>
            <w:r>
              <w:rPr>
                <w:rFonts w:ascii="Times New Roman" w:hAnsi="Times New Roman"/>
                <w:b/>
                <w:sz w:val="18"/>
              </w:rPr>
              <w:t>Threshold</w:t>
            </w:r>
          </w:p>
        </w:tc>
        <w:tc>
          <w:tcPr>
            <w:tcW w:type="dxa" w:w="2160"/>
          </w:tcPr>
          <w:p>
            <w:r>
              <w:rPr>
                <w:rFonts w:ascii="Times New Roman" w:hAnsi="Times New Roman"/>
                <w:b/>
                <w:sz w:val="18"/>
              </w:rPr>
              <w:t>Durasi Konfirmasi</w:t>
            </w:r>
          </w:p>
        </w:tc>
        <w:tc>
          <w:tcPr>
            <w:tcW w:type="dxa" w:w="2160"/>
          </w:tcPr>
          <w:p>
            <w:r>
              <w:rPr>
                <w:rFonts w:ascii="Times New Roman" w:hAnsi="Times New Roman"/>
                <w:b/>
                <w:sz w:val="18"/>
              </w:rPr>
              <w:t>Tindakan</w:t>
            </w:r>
          </w:p>
        </w:tc>
      </w:tr>
      <w:tr>
        <w:tc>
          <w:tcPr>
            <w:tcW w:type="dxa" w:w="2160"/>
          </w:tcPr>
          <w:p>
            <w:r>
              <w:rPr>
                <w:rFonts w:ascii="Times New Roman" w:hAnsi="Times New Roman"/>
                <w:sz w:val="18"/>
              </w:rPr>
              <w:t>ROC-AUC</w:t>
            </w:r>
          </w:p>
        </w:tc>
        <w:tc>
          <w:tcPr>
            <w:tcW w:type="dxa" w:w="2160"/>
          </w:tcPr>
          <w:p>
            <w:r>
              <w:rPr>
                <w:rFonts w:ascii="Times New Roman" w:hAnsi="Times New Roman"/>
                <w:sz w:val="18"/>
              </w:rPr>
              <w:t>T &lt; 0,95×AUC_baseline</w:t>
            </w:r>
          </w:p>
        </w:tc>
        <w:tc>
          <w:tcPr>
            <w:tcW w:type="dxa" w:w="2160"/>
          </w:tcPr>
          <w:p>
            <w:r>
              <w:rPr>
                <w:rFonts w:ascii="Times New Roman" w:hAnsi="Times New Roman"/>
                <w:sz w:val="18"/>
              </w:rPr>
              <w:t>3 hari berturut-turut</w:t>
            </w:r>
          </w:p>
        </w:tc>
        <w:tc>
          <w:tcPr>
            <w:tcW w:type="dxa" w:w="2160"/>
          </w:tcPr>
          <w:p>
            <w:r>
              <w:rPr>
                <w:rFonts w:ascii="Times New Roman" w:hAnsi="Times New Roman"/>
                <w:sz w:val="18"/>
              </w:rPr>
              <w:t>Retraining otomatis</w:t>
            </w:r>
          </w:p>
        </w:tc>
      </w:tr>
      <w:tr>
        <w:tc>
          <w:tcPr>
            <w:tcW w:type="dxa" w:w="2160"/>
          </w:tcPr>
          <w:p>
            <w:r>
              <w:rPr>
                <w:rFonts w:ascii="Times New Roman" w:hAnsi="Times New Roman"/>
                <w:sz w:val="18"/>
              </w:rPr>
              <w:t>False Alarm Rate</w:t>
            </w:r>
          </w:p>
        </w:tc>
        <w:tc>
          <w:tcPr>
            <w:tcW w:type="dxa" w:w="2160"/>
          </w:tcPr>
          <w:p>
            <w:r>
              <w:rPr>
                <w:rFonts w:ascii="Times New Roman" w:hAnsi="Times New Roman"/>
                <w:sz w:val="18"/>
              </w:rPr>
              <w:t>FAR &gt; 2×FAR_baseline</w:t>
            </w:r>
          </w:p>
        </w:tc>
        <w:tc>
          <w:tcPr>
            <w:tcW w:type="dxa" w:w="2160"/>
          </w:tcPr>
          <w:p>
            <w:r>
              <w:rPr>
                <w:rFonts w:ascii="Times New Roman" w:hAnsi="Times New Roman"/>
                <w:sz w:val="18"/>
              </w:rPr>
              <w:t>3 hari berturut-turut</w:t>
            </w:r>
          </w:p>
        </w:tc>
        <w:tc>
          <w:tcPr>
            <w:tcW w:type="dxa" w:w="2160"/>
          </w:tcPr>
          <w:p>
            <w:r>
              <w:rPr>
                <w:rFonts w:ascii="Times New Roman" w:hAnsi="Times New Roman"/>
                <w:sz w:val="18"/>
              </w:rPr>
              <w:t>Retraining otomatis</w:t>
            </w:r>
          </w:p>
        </w:tc>
      </w:tr>
      <w:tr>
        <w:tc>
          <w:tcPr>
            <w:tcW w:type="dxa" w:w="2160"/>
          </w:tcPr>
          <w:p>
            <w:r>
              <w:rPr>
                <w:rFonts w:ascii="Times New Roman" w:hAnsi="Times New Roman"/>
                <w:sz w:val="18"/>
              </w:rPr>
              <w:t>Data Coverage</w:t>
            </w:r>
          </w:p>
        </w:tc>
        <w:tc>
          <w:tcPr>
            <w:tcW w:type="dxa" w:w="2160"/>
          </w:tcPr>
          <w:p>
            <w:r>
              <w:rPr>
                <w:rFonts w:ascii="Times New Roman" w:hAnsi="Times New Roman"/>
                <w:sz w:val="18"/>
              </w:rPr>
              <w:t>&lt; 90%</w:t>
            </w:r>
          </w:p>
        </w:tc>
        <w:tc>
          <w:tcPr>
            <w:tcW w:type="dxa" w:w="2160"/>
          </w:tcPr>
          <w:p>
            <w:r>
              <w:rPr>
                <w:rFonts w:ascii="Times New Roman" w:hAnsi="Times New Roman"/>
                <w:sz w:val="18"/>
              </w:rPr>
              <w:t>7 hari berturut-turut</w:t>
            </w:r>
          </w:p>
        </w:tc>
        <w:tc>
          <w:tcPr>
            <w:tcW w:type="dxa" w:w="2160"/>
          </w:tcPr>
          <w:p>
            <w:r>
              <w:rPr>
                <w:rFonts w:ascii="Times New Roman" w:hAnsi="Times New Roman"/>
                <w:sz w:val="18"/>
              </w:rPr>
              <w:t>Inspeksi instrumental</w:t>
            </w:r>
          </w:p>
        </w:tc>
      </w:tr>
    </w:tbl>
    <w:p>
      <w:pPr>
        <w:pStyle w:val="Heading4"/>
      </w:pPr>
      <w:r>
        <w:rPr>
          <w:rFonts w:ascii="Times New Roman" w:hAnsi="Times New Roman"/>
        </w:rPr>
        <w:t>S4.6.2.2 Manajemen Data Buffer: Rasio Data Historis vs Data Event Baru</w:t>
      </w:r>
    </w:p>
    <w:p>
      <w:pPr>
        <w:spacing w:after="120"/>
        <w:ind w:firstLine="720"/>
        <w:jc w:val="both"/>
      </w:pPr>
      <w:r>
        <w:rPr>
          <w:rFonts w:ascii="Times New Roman" w:hAnsi="Times New Roman"/>
          <w:b w:val="0"/>
          <w:sz w:val="22"/>
        </w:rPr>
        <w:t>Manajemen buffer data merupakan komponen kritis dalam arsitektur self-updating yang menentukan komposisi dataset training untuk setiap siklus retraining. ScalogramV3 menggunakan buffer data berlapis (two-tier buffer) yang membedakan antara 'data historis' dan 'data baru'. Data historis adalah data yang telah terkumpul sebelum model di-deploy (2018–2022, ~29.000 sampel training), sedangkan data baru adalah data yang terakumulasi selama operasi (2023–2026, ~15.000 sampel baru). Seluruh data disimpan dalam format HDF5 yang sama (scalogram_v3_cosmic_final.h5) dengan partisi berdasarkan periode waktu. Ketika trigger retraining aktif, sistem membangun komposisi training set dengan rasio data historis vs data baru yang diatur secara dinamis. Pada siklus retraining pertama (bulan ke-1 operasi), komposisi yang digunakan adalah 80% data historis + 20% data baru. Rasio ini dipilih untuk memberikan bobot lebih pada data historis yang telah terverifikasi kualitasnya dan memiliki jumlah sampel prekursor yang cukup. Pada siklus-siklus berikutnya, rasio data historis dikurangi secara bertahap (70:30, 60:40, ...) hingga mencapai rasio keseimbangan 50:50 pada siklus ke-15 (bulan ke-15 operasi). Penurunan bertahap ini mencegah perubahan distribusi data yang terlalu drastis yang dapat menyebabkan catastrophic forgetting. Untuk memastikan bahwa data baru tidak mendominasi proses pelatihan, jumlah sampel prekursor dari data baru dipantau secara ketat. Jika jumlah sampel prekursor baru kurang dari 100 (ambang minimal untuk estimasi gradient yang stabil), sistem secara otomatis meningkatkan bobot SMOTE pada data baru untuk mengkompensasi kekurangan ini. Seluruh proses manajemen buffer ini diotomatisasi melalui pipeline V8 SUPCON yang diimplementasikan pada direktori pull_real/ dan deployv8/. Parameter buffer dikonfigurasi melalui file konfigurasi JSON yang dapat disesuaikan tanpa mengubah kode. Dokumentasi lengkap parameter buffer tercatat dalam log operasional yang disimpan bersama checkpoint model setiap siklus. Ukuran buffer total dibatasi hingga maksimum 100.000 sampel untuk menjaga waktu pelatihan tetap dalam batas yang dapat diterima (&lt; 3 jam per siklus). Ketika ukuran buffer mencapai batas, data tertua (berdasarkan timestamp) secara otomatis dikeluarkan untuk memberi ruang bagi data baru (FIFO policy). Kebijakan FIFO ini memastikan bahwa model selalu merepresentasikan kondisi geomagnetik terkini tanpa kehilangan informasi dari masa lalu secara total.</w:t>
      </w:r>
    </w:p>
    <w:p>
      <w:pPr>
        <w:spacing w:after="120"/>
        <w:ind w:firstLine="720"/>
        <w:jc w:val="both"/>
      </w:pPr>
      <w:r>
        <w:rPr>
          <w:rFonts w:ascii="Times New Roman" w:hAnsi="Times New Roman"/>
          <w:b w:val="0"/>
          <w:sz w:val="22"/>
        </w:rPr>
        <w:t>Untuk menjaga kualitas data dalam buffer, setiap sampel data baru yang akan dimasukkan ke dalam buffer harus lolos pemeriksaan QC yang sama dengan data historis: validasi spike lokal (MAD 5σ), filter Dst (&lt; -50 nT dieksklusi), dan filter ketersediaan data (&gt; 95%). Sampel yang tidak lolos QC ditandai dalam database dan tidak dimasukkan ke dalam buffer. Log operasional mencatat jumlah sampel yang lolos dan gagal QC setiap bulan untuk pemantauan kualitas jangka panjang. Integrasi mekanisme self-updating dengan pipeline monitoring diimplementasikan melalui deployment Docker pada direktori eews_operational/ yang mencakup container untuk inferensi, monitoring, dan retraining. Sistem monitoring menghasilkan dasbor real-time yang menampilkan metrik performa model terkini (AUC, FAR, data coverage) dan status buffer (ukuran, komposisi historis/baru, jumlah sampel prekursor). Dasbor ini dapat diakses oleh operator BMKG untuk memantau kesehatan sistem. Dengan arsitektur self-updating ini, ScalogramV3 dirancang untuk beroperasi secara mandiri dalam jangka panjang tanpa intervensi manual, memenuhi persyaratan sistem peringatan dini yang memerlukan operasi 24/7 dengan downtime seminimal mungkin. Seluruh metrik evaluasi yang dilaporkan dalam eviden13_final_evaluation_metrics.md (AUC = 0,9949, Recall = 0,8688) berfungsi sebagai baseline awal yang akan menjadi referensi untuk trigger retraining pada siklus operasional pertama.</w:t>
      </w:r>
    </w:p>
    <w:p>
      <w:pPr>
        <w:spacing w:after="80"/>
        <w:jc w:val="center"/>
      </w:pPr>
      <w:r>
        <w:rPr>
          <w:rFonts w:ascii="Times New Roman" w:hAnsi="Times New Roman"/>
          <w:b/>
          <w:sz w:val="20"/>
        </w:rPr>
        <w:t>Tabel 4.8 Evolusi Komposisi Buffer Data per Siklus Retraining</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Siklus</w:t>
            </w:r>
          </w:p>
        </w:tc>
        <w:tc>
          <w:tcPr>
            <w:tcW w:type="dxa" w:w="1728"/>
          </w:tcPr>
          <w:p>
            <w:r>
              <w:rPr>
                <w:rFonts w:ascii="Times New Roman" w:hAnsi="Times New Roman"/>
                <w:b/>
                <w:sz w:val="18"/>
              </w:rPr>
              <w:t>Historis</w:t>
            </w:r>
          </w:p>
        </w:tc>
        <w:tc>
          <w:tcPr>
            <w:tcW w:type="dxa" w:w="1728"/>
          </w:tcPr>
          <w:p>
            <w:r>
              <w:rPr>
                <w:rFonts w:ascii="Times New Roman" w:hAnsi="Times New Roman"/>
                <w:b/>
                <w:sz w:val="18"/>
              </w:rPr>
              <w:t>Baru</w:t>
            </w:r>
          </w:p>
        </w:tc>
        <w:tc>
          <w:tcPr>
            <w:tcW w:type="dxa" w:w="1728"/>
          </w:tcPr>
          <w:p>
            <w:r>
              <w:rPr>
                <w:rFonts w:ascii="Times New Roman" w:hAnsi="Times New Roman"/>
                <w:b/>
                <w:sz w:val="18"/>
              </w:rPr>
              <w:t>Rasio H:B</w:t>
            </w:r>
          </w:p>
        </w:tc>
        <w:tc>
          <w:tcPr>
            <w:tcW w:type="dxa" w:w="1728"/>
          </w:tcPr>
          <w:p>
            <w:r>
              <w:rPr>
                <w:rFonts w:ascii="Times New Roman" w:hAnsi="Times New Roman"/>
                <w:b/>
                <w:sz w:val="18"/>
              </w:rPr>
              <w:t>SMOTE Baru</w:t>
            </w:r>
          </w:p>
        </w:tc>
      </w:tr>
      <w:tr>
        <w:tc>
          <w:tcPr>
            <w:tcW w:type="dxa" w:w="1728"/>
          </w:tcPr>
          <w:p>
            <w:r>
              <w:rPr>
                <w:rFonts w:ascii="Times New Roman" w:hAnsi="Times New Roman"/>
                <w:sz w:val="18"/>
              </w:rPr>
              <w:t>1 (bln 1)</w:t>
            </w:r>
          </w:p>
        </w:tc>
        <w:tc>
          <w:tcPr>
            <w:tcW w:type="dxa" w:w="1728"/>
          </w:tcPr>
          <w:p>
            <w:r>
              <w:rPr>
                <w:rFonts w:ascii="Times New Roman" w:hAnsi="Times New Roman"/>
                <w:sz w:val="18"/>
              </w:rPr>
              <w:t>29.000</w:t>
            </w:r>
          </w:p>
        </w:tc>
        <w:tc>
          <w:tcPr>
            <w:tcW w:type="dxa" w:w="1728"/>
          </w:tcPr>
          <w:p>
            <w:r>
              <w:rPr>
                <w:rFonts w:ascii="Times New Roman" w:hAnsi="Times New Roman"/>
                <w:sz w:val="18"/>
              </w:rPr>
              <w:t>~1.250</w:t>
            </w:r>
          </w:p>
        </w:tc>
        <w:tc>
          <w:tcPr>
            <w:tcW w:type="dxa" w:w="1728"/>
          </w:tcPr>
          <w:p>
            <w:r>
              <w:rPr>
                <w:rFonts w:ascii="Times New Roman" w:hAnsi="Times New Roman"/>
                <w:sz w:val="18"/>
              </w:rPr>
              <w:t>80:20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5 (bln 5)</w:t>
            </w:r>
          </w:p>
        </w:tc>
        <w:tc>
          <w:tcPr>
            <w:tcW w:type="dxa" w:w="1728"/>
          </w:tcPr>
          <w:p>
            <w:r>
              <w:rPr>
                <w:rFonts w:ascii="Times New Roman" w:hAnsi="Times New Roman"/>
                <w:sz w:val="18"/>
              </w:rPr>
              <w:t>29.000</w:t>
            </w:r>
          </w:p>
        </w:tc>
        <w:tc>
          <w:tcPr>
            <w:tcW w:type="dxa" w:w="1728"/>
          </w:tcPr>
          <w:p>
            <w:r>
              <w:rPr>
                <w:rFonts w:ascii="Times New Roman" w:hAnsi="Times New Roman"/>
                <w:sz w:val="18"/>
              </w:rPr>
              <w:t>~6.250</w:t>
            </w:r>
          </w:p>
        </w:tc>
        <w:tc>
          <w:tcPr>
            <w:tcW w:type="dxa" w:w="1728"/>
          </w:tcPr>
          <w:p>
            <w:r>
              <w:rPr>
                <w:rFonts w:ascii="Times New Roman" w:hAnsi="Times New Roman"/>
                <w:sz w:val="18"/>
              </w:rPr>
              <w:t>70:30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10 (bln 10)</w:t>
            </w:r>
          </w:p>
        </w:tc>
        <w:tc>
          <w:tcPr>
            <w:tcW w:type="dxa" w:w="1728"/>
          </w:tcPr>
          <w:p>
            <w:r>
              <w:rPr>
                <w:rFonts w:ascii="Times New Roman" w:hAnsi="Times New Roman"/>
                <w:sz w:val="18"/>
              </w:rPr>
              <w:t>29.000</w:t>
            </w:r>
          </w:p>
        </w:tc>
        <w:tc>
          <w:tcPr>
            <w:tcW w:type="dxa" w:w="1728"/>
          </w:tcPr>
          <w:p>
            <w:r>
              <w:rPr>
                <w:rFonts w:ascii="Times New Roman" w:hAnsi="Times New Roman"/>
                <w:sz w:val="18"/>
              </w:rPr>
              <w:t>~12.500</w:t>
            </w:r>
          </w:p>
        </w:tc>
        <w:tc>
          <w:tcPr>
            <w:tcW w:type="dxa" w:w="1728"/>
          </w:tcPr>
          <w:p>
            <w:r>
              <w:rPr>
                <w:rFonts w:ascii="Times New Roman" w:hAnsi="Times New Roman"/>
                <w:sz w:val="18"/>
              </w:rPr>
              <w:t>60:40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15+ (bln 15+)</w:t>
            </w:r>
          </w:p>
        </w:tc>
        <w:tc>
          <w:tcPr>
            <w:tcW w:type="dxa" w:w="1728"/>
          </w:tcPr>
          <w:p>
            <w:r>
              <w:rPr>
                <w:rFonts w:ascii="Times New Roman" w:hAnsi="Times New Roman"/>
                <w:sz w:val="18"/>
              </w:rPr>
              <w:t>29.000</w:t>
            </w:r>
          </w:p>
        </w:tc>
        <w:tc>
          <w:tcPr>
            <w:tcW w:type="dxa" w:w="1728"/>
          </w:tcPr>
          <w:p>
            <w:r>
              <w:rPr>
                <w:rFonts w:ascii="Times New Roman" w:hAnsi="Times New Roman"/>
                <w:sz w:val="18"/>
              </w:rPr>
              <w:t>~18.750</w:t>
            </w:r>
          </w:p>
        </w:tc>
        <w:tc>
          <w:tcPr>
            <w:tcW w:type="dxa" w:w="1728"/>
          </w:tcPr>
          <w:p>
            <w:r>
              <w:rPr>
                <w:rFonts w:ascii="Times New Roman" w:hAnsi="Times New Roman"/>
                <w:sz w:val="18"/>
              </w:rPr>
              <w:t>50:50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Maksimum</w:t>
            </w:r>
          </w:p>
        </w:tc>
        <w:tc>
          <w:tcPr>
            <w:tcW w:type="dxa" w:w="1728"/>
          </w:tcPr>
          <w:p>
            <w:r>
              <w:rPr>
                <w:rFonts w:ascii="Times New Roman" w:hAnsi="Times New Roman"/>
                <w:sz w:val="18"/>
              </w:rPr>
              <w:t>–</w:t>
            </w:r>
          </w:p>
        </w:tc>
        <w:tc>
          <w:tcPr>
            <w:tcW w:type="dxa" w:w="1728"/>
          </w:tcPr>
          <w:p>
            <w:r>
              <w:rPr>
                <w:rFonts w:ascii="Times New Roman" w:hAnsi="Times New Roman"/>
                <w:sz w:val="18"/>
              </w:rPr>
              <w:t>–</w:t>
            </w:r>
          </w:p>
        </w:tc>
        <w:tc>
          <w:tcPr>
            <w:tcW w:type="dxa" w:w="1728"/>
          </w:tcPr>
          <w:p>
            <w:r>
              <w:rPr>
                <w:rFonts w:ascii="Times New Roman" w:hAnsi="Times New Roman"/>
                <w:sz w:val="18"/>
              </w:rPr>
              <w:t>FIFO di 100k</w:t>
            </w:r>
          </w:p>
        </w:tc>
        <w:tc>
          <w:tcPr>
            <w:tcW w:type="dxa" w:w="1728"/>
          </w:tcPr>
          <w:p>
            <w:r>
              <w:rPr>
                <w:rFonts w:ascii="Times New Roman" w:hAnsi="Times New Roman"/>
                <w:sz w:val="18"/>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