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51D2E" w14:textId="77777777" w:rsidR="005C3E13" w:rsidRDefault="00F414DC">
      <w:pPr>
        <w:pStyle w:val="Title"/>
        <w:jc w:val="center"/>
      </w:pPr>
      <w:r>
        <w:t>Earthquake Precursor Detection using ConvNeXt:</w:t>
      </w:r>
    </w:p>
    <w:p w14:paraId="510D73AF" w14:textId="77777777" w:rsidR="005C3E13" w:rsidRDefault="00F414DC">
      <w:pPr>
        <w:jc w:val="center"/>
      </w:pPr>
      <w:r>
        <w:t>A Modern Convolutional Approach for ULF Geomagnetic Signal Classification</w:t>
      </w:r>
    </w:p>
    <w:p w14:paraId="0C1BD1BA" w14:textId="77777777" w:rsidR="005C3E13" w:rsidRDefault="005C3E13"/>
    <w:p w14:paraId="2249752F" w14:textId="77777777" w:rsidR="005C3E13" w:rsidRDefault="00F414DC">
      <w:pPr>
        <w:jc w:val="center"/>
      </w:pPr>
      <w:r>
        <w:t>Earthquake Prediction Research Team</w:t>
      </w:r>
    </w:p>
    <w:p w14:paraId="772150C8" w14:textId="77777777" w:rsidR="005C3E13" w:rsidRDefault="00F414DC">
      <w:pPr>
        <w:jc w:val="center"/>
      </w:pPr>
      <w:r>
        <w:t>BMKG (Badan Meteorologi, Klimatologi, dan Geofisika), Indonesia</w:t>
      </w:r>
    </w:p>
    <w:p w14:paraId="5424F826" w14:textId="77777777" w:rsidR="005C3E13" w:rsidRDefault="00F414DC">
      <w:pPr>
        <w:pStyle w:val="Heading1"/>
      </w:pPr>
      <w:r>
        <w:t>Abstract</w:t>
      </w:r>
    </w:p>
    <w:p w14:paraId="31CD0081" w14:textId="77777777" w:rsidR="00F67CF0" w:rsidRDefault="00F67CF0" w:rsidP="00F67CF0">
      <w:r>
        <w:t xml:space="preserve">Detecting earthquake precursors from Ultra-Low Frequency (ULF) geomagnetic signals is a critical yet challenging task due to low signal-to-noise ratios and complex non-linear patterns. This study introduces a novel physics-informed framework leveraging </w:t>
      </w:r>
      <w:proofErr w:type="spellStart"/>
      <w:r>
        <w:t>ConvNeXt</w:t>
      </w:r>
      <w:proofErr w:type="spellEnd"/>
      <w:r>
        <w:t xml:space="preserve">, a state-of-the-art convolutional architecture that integrates Vision Transformer design principles with the computational efficiency of pure convolutions. By processing Short-Time Fourier Transform (STFT) spectrograms from the Indonesian (BMKG) magnetometer network, we isolate Pc3-band (10–45 </w:t>
      </w:r>
      <w:proofErr w:type="spellStart"/>
      <w:r>
        <w:t>mHz</w:t>
      </w:r>
      <w:proofErr w:type="spellEnd"/>
      <w:r>
        <w:t>) anomalies linked to pre-seismic stress accumulation.</w:t>
      </w:r>
    </w:p>
    <w:p w14:paraId="20992989" w14:textId="77777777" w:rsidR="00F67CF0" w:rsidRDefault="00F67CF0" w:rsidP="00F67CF0">
      <w:r>
        <w:t xml:space="preserve">The </w:t>
      </w:r>
      <w:proofErr w:type="spellStart"/>
      <w:r>
        <w:t>ConvNeXt</w:t>
      </w:r>
      <w:proofErr w:type="spellEnd"/>
      <w:r>
        <w:t>-Tiny model (28.6M parameters) was rigorously evaluated using a Leave-One-Event-Out (LOEO) 10-fold cross-validation protocol on 1,972 labeled samples to ensure robust spatial-temporal generalization. Our results demonstrate near-perfect performance in magnitude classification, achieving 97.53% ± 0.96% accuracy. For the more challenging azimuth estimation, the model reached 69.30% ± 5.74% accuracy, representing a 6.2-fold improvement over random chance (11.11%) with a Matthews Correlation Coefficient (MCC) of 0.69.</w:t>
      </w:r>
    </w:p>
    <w:p w14:paraId="1740AFFE" w14:textId="2EDB29FD" w:rsidR="005C3E13" w:rsidRDefault="00F67CF0" w:rsidP="00F67CF0">
      <w:r>
        <w:t>Ablation analysis and interpretability results confirm that the model's high predictive capability stems from its ability to capture broadband spectral power enhancements, consistent with the Lithosphere-Atmosphere-Ionosphere Coupling (LAIC) hypothesis. With an inference speed of 25ms per sample, this framework provides a reproducible and computationally efficient baseline for real-time earthquake early warning systems in complex tectonic environments.</w:t>
      </w:r>
    </w:p>
    <w:p w14:paraId="27AC6AAF" w14:textId="78D5513D" w:rsidR="005C3E13" w:rsidRDefault="00F414DC">
      <w:r>
        <w:rPr>
          <w:b/>
        </w:rPr>
        <w:t xml:space="preserve">Keywords: </w:t>
      </w:r>
      <w:r>
        <w:t>ConvNeXt, earthquake precursor, ULF geomagnetic signals, deep learning, MCC, LOEO cross-validation</w:t>
      </w:r>
      <w:r w:rsidR="0053783F">
        <w:t xml:space="preserve">, </w:t>
      </w:r>
      <w:r w:rsidR="0053783F" w:rsidRPr="0053783F">
        <w:t>Indonesian Seismicity</w:t>
      </w:r>
    </w:p>
    <w:p w14:paraId="1C857306" w14:textId="77777777" w:rsidR="005C3E13" w:rsidRDefault="00F414DC">
      <w:pPr>
        <w:pStyle w:val="Heading1"/>
      </w:pPr>
      <w:r>
        <w:lastRenderedPageBreak/>
        <w:t>1. Introduction</w:t>
      </w:r>
    </w:p>
    <w:p w14:paraId="2C3B05BA" w14:textId="77777777" w:rsidR="0076271C" w:rsidRDefault="0076271C" w:rsidP="0076271C">
      <w:r>
        <w:t>Earthquake prediction remains one of the most formidable frontiers in geophysics. Among various short-term precursor candidates, Ultra-Low Frequency (ULF) geomagnetic anomalies—typically within the 0.001–1 Hz range—have emerged as a promising proxy for pre-seismic lithospheric activity. In Indonesia, a region characterized by the complex convergence of three major tectonic plates, the demand for a reliable early warning system is paramount. However, the operational transition of ULF-based detection is persistently hindered by two critical challenges: the extremely low signal-to-noise ratio (SNR) of pre-seismic emissions and the severe class imbalance inherent in seismic datasets.</w:t>
      </w:r>
    </w:p>
    <w:p w14:paraId="6F5787B6" w14:textId="115DAA34" w:rsidR="0076271C" w:rsidRDefault="0076271C" w:rsidP="0076271C">
      <w:r>
        <w:t>Traditional analytical methods, such as polarization analysis (Z/H) and fractal dimensioning, often struggle to distinguish subtle lithospheric signals from pervasive magnetospheric noise and anthropogenic interference. Furthermore, while early machine learning attempts utilized classical Convolutional Neural Networks (CNNs), these models frequently suffer from limited receptive fields, failing to capture the long-range temporal-spectral dependencies crucial for precursor identification.</w:t>
      </w:r>
    </w:p>
    <w:p w14:paraId="469A708A" w14:textId="28766CE0" w:rsidR="005C3E13" w:rsidRDefault="0076271C" w:rsidP="0076271C">
      <w:r>
        <w:t xml:space="preserve">To address these limitations, this study introduces a novel framework utilizing </w:t>
      </w:r>
      <w:proofErr w:type="spellStart"/>
      <w:r>
        <w:t>ConvNeXt</w:t>
      </w:r>
      <w:proofErr w:type="spellEnd"/>
      <w:r>
        <w:t>, a state-of-the-art convolutional architecture that re-engineers the standard CNN by integrating the macro-design principles of Vision Transformers (</w:t>
      </w:r>
      <w:proofErr w:type="spellStart"/>
      <w:r>
        <w:t>ViT</w:t>
      </w:r>
      <w:proofErr w:type="spellEnd"/>
      <w:r>
        <w:t>). By employing 7</w:t>
      </w:r>
      <w:r>
        <w:t>x</w:t>
      </w:r>
      <w:r>
        <w:t>7 large kernels and a modernized normalization layer (</w:t>
      </w:r>
      <w:proofErr w:type="spellStart"/>
      <w:r>
        <w:t>LayerNorm</w:t>
      </w:r>
      <w:proofErr w:type="spellEnd"/>
      <w:r>
        <w:t xml:space="preserve">), </w:t>
      </w:r>
      <w:proofErr w:type="spellStart"/>
      <w:r>
        <w:t>ConvNeXt</w:t>
      </w:r>
      <w:proofErr w:type="spellEnd"/>
      <w:r>
        <w:t xml:space="preserve"> provides a significantly expanded effective receptive field, enabling the model to extract high-level discriminative features from STFT spectrograms.</w:t>
      </w:r>
    </w:p>
    <w:p w14:paraId="623BA244" w14:textId="48376D3F" w:rsidR="009F07EC" w:rsidRDefault="009F07EC" w:rsidP="0076271C">
      <w:r w:rsidRPr="009F07EC">
        <w:t xml:space="preserve">The remainder of this paper is organized as follows: Section 2 describes the BMKG geomagnetic observation network and the physics-informed signal processing pipeline. Section 3 details the </w:t>
      </w:r>
      <w:proofErr w:type="spellStart"/>
      <w:r w:rsidRPr="009F07EC">
        <w:t>ConvNeXt</w:t>
      </w:r>
      <w:proofErr w:type="spellEnd"/>
      <w:r w:rsidRPr="009F07EC">
        <w:t>-based architecture and the imbalance-aware training strategy, followed by Section 4, which presents the experimental results, ablation studies, and geophysical interpretations. Finally, Section 5 provides the concluding remarks and future research directions.</w:t>
      </w:r>
    </w:p>
    <w:p w14:paraId="2DDC434A" w14:textId="77777777" w:rsidR="005C3E13" w:rsidRDefault="00F414DC">
      <w:pPr>
        <w:pStyle w:val="Heading1"/>
      </w:pPr>
      <w:r>
        <w:t>2. Materials and Methods</w:t>
      </w:r>
    </w:p>
    <w:p w14:paraId="65EED5C7" w14:textId="77777777" w:rsidR="0095499C" w:rsidRDefault="0095499C" w:rsidP="0095499C">
      <w:pPr>
        <w:pStyle w:val="Heading3"/>
      </w:pPr>
      <w:r>
        <w:t>2.1. Dataset Characteristics and Geographic Distribution</w:t>
      </w:r>
    </w:p>
    <w:p w14:paraId="168C0E09" w14:textId="77777777" w:rsidR="0095499C" w:rsidRDefault="0095499C" w:rsidP="0095499C">
      <w:pPr>
        <w:pStyle w:val="NormalWeb"/>
      </w:pPr>
      <w:r>
        <w:rPr>
          <w:rStyle w:val="citation-334"/>
        </w:rPr>
        <w:t xml:space="preserve">The dataset utilized in this study comprises high-fidelity Ultra-Low Frequency (ULF) geomagnetic recordings acquired from the </w:t>
      </w:r>
      <w:r>
        <w:rPr>
          <w:rStyle w:val="citation-334"/>
          <w:b/>
          <w:bCs/>
        </w:rPr>
        <w:t>MAGDAS (</w:t>
      </w:r>
      <w:proofErr w:type="spellStart"/>
      <w:r>
        <w:rPr>
          <w:rStyle w:val="citation-334"/>
          <w:b/>
          <w:bCs/>
        </w:rPr>
        <w:t>MAGnetic</w:t>
      </w:r>
      <w:proofErr w:type="spellEnd"/>
      <w:r>
        <w:rPr>
          <w:rStyle w:val="citation-334"/>
          <w:b/>
          <w:bCs/>
        </w:rPr>
        <w:t xml:space="preserve"> Data Acquisition System)</w:t>
      </w:r>
      <w:r>
        <w:rPr>
          <w:rStyle w:val="citation-334"/>
        </w:rPr>
        <w:t xml:space="preserve"> network, operated by the Indonesian Agency for Meteorology, Climatology, and Geophysics (BMKG)</w:t>
      </w:r>
      <w:r>
        <w:t xml:space="preserve">. </w:t>
      </w:r>
      <w:r>
        <w:rPr>
          <w:rStyle w:val="citation-333"/>
        </w:rPr>
        <w:t xml:space="preserve">Spanning a seven-year observation period from </w:t>
      </w:r>
      <w:r>
        <w:rPr>
          <w:rStyle w:val="citation-333"/>
          <w:b/>
          <w:bCs/>
        </w:rPr>
        <w:t>2018 to 2025</w:t>
      </w:r>
      <w:r>
        <w:rPr>
          <w:rStyle w:val="citation-333"/>
        </w:rPr>
        <w:t>, the archive captures a comprehensive seismic history across the Indonesian archipelago, a region of intense tectonic convergence</w:t>
      </w:r>
      <w:r>
        <w:t xml:space="preserve">. </w:t>
      </w:r>
      <w:r>
        <w:rPr>
          <w:rStyle w:val="citation-332"/>
          <w:rFonts w:eastAsiaTheme="majorEastAsia"/>
        </w:rPr>
        <w:t xml:space="preserve">The curated dataset encompasses </w:t>
      </w:r>
      <w:r>
        <w:rPr>
          <w:rStyle w:val="citation-332"/>
          <w:rFonts w:eastAsiaTheme="majorEastAsia"/>
          <w:b/>
          <w:bCs/>
        </w:rPr>
        <w:t>256 significant earthquake events</w:t>
      </w:r>
      <w:r>
        <w:rPr>
          <w:rStyle w:val="citation-332"/>
          <w:rFonts w:eastAsiaTheme="majorEastAsia"/>
        </w:rPr>
        <w:t xml:space="preserve"> with magnitudes ranging from </w:t>
      </w:r>
      <w:r>
        <w:rPr>
          <w:rStyle w:val="math-inline"/>
          <w:rFonts w:eastAsiaTheme="majorEastAsia"/>
        </w:rPr>
        <w:t>M</w:t>
      </w:r>
      <w:r>
        <w:rPr>
          <w:rStyle w:val="citation-332"/>
          <w:rFonts w:eastAsiaTheme="majorEastAsia"/>
        </w:rPr>
        <w:t xml:space="preserve"> 4.0 to </w:t>
      </w:r>
      <w:r>
        <w:rPr>
          <w:rStyle w:val="math-inline"/>
          <w:rFonts w:eastAsiaTheme="majorEastAsia"/>
        </w:rPr>
        <w:t>M</w:t>
      </w:r>
      <w:r>
        <w:rPr>
          <w:rStyle w:val="citation-332"/>
          <w:rFonts w:eastAsiaTheme="majorEastAsia"/>
        </w:rPr>
        <w:t>7.0+, ensuring a representative sample of diverse stress accumulation phases</w:t>
      </w:r>
      <w:r>
        <w:t>.</w:t>
      </w:r>
    </w:p>
    <w:p w14:paraId="16032179" w14:textId="77777777" w:rsidR="0095499C" w:rsidRDefault="0095499C" w:rsidP="0095499C">
      <w:pPr>
        <w:pStyle w:val="NormalWeb"/>
      </w:pPr>
      <w:r>
        <w:rPr>
          <w:rStyle w:val="citation-331"/>
        </w:rPr>
        <w:lastRenderedPageBreak/>
        <w:t xml:space="preserve">To facilitate deep learning analysis via the </w:t>
      </w:r>
      <w:proofErr w:type="spellStart"/>
      <w:r>
        <w:rPr>
          <w:rStyle w:val="citation-331"/>
          <w:b/>
          <w:bCs/>
        </w:rPr>
        <w:t>ConvNeXt</w:t>
      </w:r>
      <w:proofErr w:type="spellEnd"/>
      <w:r>
        <w:rPr>
          <w:rStyle w:val="citation-331"/>
          <w:b/>
          <w:bCs/>
        </w:rPr>
        <w:t>-Tiny</w:t>
      </w:r>
      <w:r>
        <w:rPr>
          <w:rStyle w:val="citation-331"/>
        </w:rPr>
        <w:t xml:space="preserve"> architecture, raw time-series data were processed into a refined repository of </w:t>
      </w:r>
      <w:r>
        <w:rPr>
          <w:rStyle w:val="citation-331"/>
          <w:b/>
          <w:bCs/>
        </w:rPr>
        <w:t>1,972 labeled STFT spectrograms</w:t>
      </w:r>
      <w:r>
        <w:t xml:space="preserve">. </w:t>
      </w:r>
      <w:r>
        <w:rPr>
          <w:rStyle w:val="citation-330"/>
          <w:rFonts w:eastAsiaTheme="majorEastAsia"/>
        </w:rPr>
        <w:t xml:space="preserve">These samples were strategically sourced from a multi-station array including </w:t>
      </w:r>
      <w:r>
        <w:rPr>
          <w:rStyle w:val="citation-330"/>
          <w:rFonts w:eastAsiaTheme="majorEastAsia"/>
          <w:b/>
          <w:bCs/>
        </w:rPr>
        <w:t>SCN (</w:t>
      </w:r>
      <w:proofErr w:type="spellStart"/>
      <w:r>
        <w:rPr>
          <w:rStyle w:val="citation-330"/>
          <w:rFonts w:eastAsiaTheme="majorEastAsia"/>
          <w:b/>
          <w:bCs/>
        </w:rPr>
        <w:t>Sicincin</w:t>
      </w:r>
      <w:proofErr w:type="spellEnd"/>
      <w:r>
        <w:rPr>
          <w:rStyle w:val="citation-330"/>
          <w:rFonts w:eastAsiaTheme="majorEastAsia"/>
          <w:b/>
          <w:bCs/>
        </w:rPr>
        <w:t xml:space="preserve">), MLB (Muara </w:t>
      </w:r>
      <w:proofErr w:type="spellStart"/>
      <w:r>
        <w:rPr>
          <w:rStyle w:val="citation-330"/>
          <w:rFonts w:eastAsiaTheme="majorEastAsia"/>
          <w:b/>
          <w:bCs/>
        </w:rPr>
        <w:t>Labuh</w:t>
      </w:r>
      <w:proofErr w:type="spellEnd"/>
      <w:r>
        <w:rPr>
          <w:rStyle w:val="citation-330"/>
          <w:rFonts w:eastAsiaTheme="majorEastAsia"/>
          <w:b/>
          <w:bCs/>
        </w:rPr>
        <w:t>), GTO (Gorontalo), SBG (</w:t>
      </w:r>
      <w:proofErr w:type="spellStart"/>
      <w:r>
        <w:rPr>
          <w:rStyle w:val="citation-330"/>
          <w:rFonts w:eastAsiaTheme="majorEastAsia"/>
          <w:b/>
          <w:bCs/>
        </w:rPr>
        <w:t>Sabang</w:t>
      </w:r>
      <w:proofErr w:type="spellEnd"/>
      <w:r>
        <w:rPr>
          <w:rStyle w:val="citation-330"/>
          <w:rFonts w:eastAsiaTheme="majorEastAsia"/>
          <w:b/>
          <w:bCs/>
        </w:rPr>
        <w:t>)</w:t>
      </w:r>
      <w:r>
        <w:rPr>
          <w:rStyle w:val="citation-330"/>
          <w:rFonts w:eastAsiaTheme="majorEastAsia"/>
        </w:rPr>
        <w:t xml:space="preserve">, and other key installations situated along highly active tectonic zones such as the </w:t>
      </w:r>
      <w:proofErr w:type="spellStart"/>
      <w:r>
        <w:rPr>
          <w:rStyle w:val="citation-330"/>
          <w:rFonts w:eastAsiaTheme="majorEastAsia"/>
        </w:rPr>
        <w:t>Sunda</w:t>
      </w:r>
      <w:proofErr w:type="spellEnd"/>
      <w:r>
        <w:rPr>
          <w:rStyle w:val="citation-330"/>
          <w:rFonts w:eastAsiaTheme="majorEastAsia"/>
        </w:rPr>
        <w:t xml:space="preserve"> Megathrust and the Sumatran Fault</w:t>
      </w:r>
      <w:r>
        <w:t xml:space="preserve">. </w:t>
      </w:r>
      <w:r>
        <w:rPr>
          <w:rStyle w:val="citation-329"/>
        </w:rPr>
        <w:t>This multi-station configuration is critical for minimizing localized anthropogenic noise and ensuring that the learned features reflect regional lithospheric emissions rather than site-specific artifacts</w:t>
      </w:r>
      <w:r>
        <w:t xml:space="preserve">. </w:t>
      </w:r>
      <w:r>
        <w:rPr>
          <w:rStyle w:val="citation-328"/>
          <w:rFonts w:eastAsiaTheme="majorEastAsia"/>
        </w:rPr>
        <w:t>The resulting dataset represents the most extensive national-scale ULF precursor collection ever assembled for the Indonesian region, providing a robust foundation for evaluating the generalizability of modern convolutional neural networks in geophysical contexts</w:t>
      </w:r>
      <w:r>
        <w:t>.</w:t>
      </w:r>
    </w:p>
    <w:p w14:paraId="6A4C24B5" w14:textId="77777777" w:rsidR="00BD0A90" w:rsidRDefault="00BD0A90" w:rsidP="00BD0A90">
      <w:pPr>
        <w:pStyle w:val="Heading3"/>
      </w:pPr>
      <w:r>
        <w:t xml:space="preserve">2.2. </w:t>
      </w:r>
      <w:proofErr w:type="spellStart"/>
      <w:r>
        <w:t>ConvNeXt</w:t>
      </w:r>
      <w:proofErr w:type="spellEnd"/>
      <w:r>
        <w:t xml:space="preserve"> Architecture and Multi-Task Framework</w:t>
      </w:r>
    </w:p>
    <w:p w14:paraId="062915C4" w14:textId="77777777" w:rsidR="00BD0A90" w:rsidRDefault="00BD0A90" w:rsidP="00BD0A90">
      <w:pPr>
        <w:pStyle w:val="NormalWeb"/>
      </w:pPr>
      <w:r>
        <w:rPr>
          <w:rStyle w:val="citation-368"/>
        </w:rPr>
        <w:t xml:space="preserve">The core of our detection framework utilizes the </w:t>
      </w:r>
      <w:proofErr w:type="spellStart"/>
      <w:r>
        <w:rPr>
          <w:rStyle w:val="citation-368"/>
          <w:b/>
          <w:bCs/>
        </w:rPr>
        <w:t>ConvNeXt</w:t>
      </w:r>
      <w:proofErr w:type="spellEnd"/>
      <w:r>
        <w:rPr>
          <w:rStyle w:val="citation-368"/>
          <w:b/>
          <w:bCs/>
        </w:rPr>
        <w:t>-Tiny</w:t>
      </w:r>
      <w:r>
        <w:rPr>
          <w:rStyle w:val="citation-368"/>
        </w:rPr>
        <w:t xml:space="preserve"> architecture, a modern convolutional neural network that redefines traditional design by integrating the macro-design principles of Vision Transformers (</w:t>
      </w:r>
      <w:proofErr w:type="spellStart"/>
      <w:r>
        <w:rPr>
          <w:rStyle w:val="citation-368"/>
        </w:rPr>
        <w:t>ViTs</w:t>
      </w:r>
      <w:proofErr w:type="spellEnd"/>
      <w:r>
        <w:rPr>
          <w:rStyle w:val="citation-368"/>
        </w:rPr>
        <w:t>) while maintaining the inductive bias of convolutions</w:t>
      </w:r>
      <w:r>
        <w:t xml:space="preserve">. </w:t>
      </w:r>
      <w:r>
        <w:rPr>
          <w:rStyle w:val="citation-367"/>
        </w:rPr>
        <w:t xml:space="preserve">The network initializes with a </w:t>
      </w:r>
      <w:r>
        <w:rPr>
          <w:rStyle w:val="citation-367"/>
          <w:b/>
          <w:bCs/>
        </w:rPr>
        <w:t>stem layer</w:t>
      </w:r>
      <w:r>
        <w:rPr>
          <w:rStyle w:val="citation-367"/>
        </w:rPr>
        <w:t xml:space="preserve"> comprising a </w:t>
      </w:r>
      <w:r>
        <w:rPr>
          <w:rStyle w:val="math-inline"/>
        </w:rPr>
        <w:t>4x4</w:t>
      </w:r>
      <w:r>
        <w:rPr>
          <w:rStyle w:val="citation-367"/>
        </w:rPr>
        <w:t xml:space="preserve"> convolution with a stride of 4, projecting the input spectrogram into a 96-channel feature space</w:t>
      </w:r>
      <w:r>
        <w:t xml:space="preserve">. </w:t>
      </w:r>
      <w:r>
        <w:rPr>
          <w:rStyle w:val="citation-366"/>
          <w:rFonts w:eastAsiaTheme="majorEastAsia"/>
        </w:rPr>
        <w:t>The backbone is structured into four distinct stages with a block distribution of (3, 3, 9, 3), where channel dimensions progressively expand from 96 to 768 through Stage 4</w:t>
      </w:r>
      <w:r>
        <w:t xml:space="preserve">. </w:t>
      </w:r>
      <w:r>
        <w:rPr>
          <w:rStyle w:val="citation-365"/>
          <w:rFonts w:eastAsiaTheme="majorEastAsia"/>
        </w:rPr>
        <w:t xml:space="preserve">This configuration, totaling </w:t>
      </w:r>
      <w:r>
        <w:rPr>
          <w:rStyle w:val="citation-365"/>
          <w:rFonts w:eastAsiaTheme="majorEastAsia"/>
          <w:b/>
          <w:bCs/>
        </w:rPr>
        <w:t>28.6 million parameters</w:t>
      </w:r>
      <w:r>
        <w:rPr>
          <w:rStyle w:val="citation-365"/>
          <w:rFonts w:eastAsiaTheme="majorEastAsia"/>
        </w:rPr>
        <w:t xml:space="preserve">, is initialized with </w:t>
      </w:r>
      <w:r>
        <w:rPr>
          <w:rStyle w:val="citation-365"/>
          <w:rFonts w:eastAsiaTheme="majorEastAsia"/>
          <w:b/>
          <w:bCs/>
        </w:rPr>
        <w:t>ImageNet-1K pre-trained weights</w:t>
      </w:r>
      <w:r>
        <w:rPr>
          <w:rStyle w:val="citation-365"/>
          <w:rFonts w:eastAsiaTheme="majorEastAsia"/>
        </w:rPr>
        <w:t xml:space="preserve"> to leverage high-level hierarchical features through transfer learning, which accelerates convergence in geophysical time-frequency domains</w:t>
      </w:r>
      <w:r>
        <w:t>.</w:t>
      </w:r>
    </w:p>
    <w:p w14:paraId="7134A3CB" w14:textId="77777777" w:rsidR="00BD0A90" w:rsidRDefault="00BD0A90" w:rsidP="00BD0A90">
      <w:pPr>
        <w:pStyle w:val="NormalWeb"/>
      </w:pPr>
      <w:r>
        <w:rPr>
          <w:rStyle w:val="citation-364"/>
          <w:rFonts w:eastAsiaTheme="majorEastAsia"/>
        </w:rPr>
        <w:t xml:space="preserve">To address the multi-dimensional nature of ULF precursors, we implemented a custom </w:t>
      </w:r>
      <w:r>
        <w:rPr>
          <w:rStyle w:val="citation-364"/>
          <w:rFonts w:eastAsiaTheme="majorEastAsia"/>
          <w:b/>
          <w:bCs/>
        </w:rPr>
        <w:t>multi-task classification head</w:t>
      </w:r>
      <w:r>
        <w:rPr>
          <w:rStyle w:val="citation-364"/>
          <w:rFonts w:eastAsiaTheme="majorEastAsia"/>
        </w:rPr>
        <w:t xml:space="preserve"> following the shared </w:t>
      </w:r>
      <w:proofErr w:type="spellStart"/>
      <w:r>
        <w:rPr>
          <w:rStyle w:val="citation-364"/>
          <w:rFonts w:eastAsiaTheme="majorEastAsia"/>
        </w:rPr>
        <w:t>ConvNeXt</w:t>
      </w:r>
      <w:proofErr w:type="spellEnd"/>
      <w:r>
        <w:rPr>
          <w:rStyle w:val="citation-364"/>
          <w:rFonts w:eastAsiaTheme="majorEastAsia"/>
        </w:rPr>
        <w:t xml:space="preserve"> backbone</w:t>
      </w:r>
      <w:r>
        <w:t xml:space="preserve">. </w:t>
      </w:r>
      <w:r>
        <w:rPr>
          <w:rStyle w:val="citation-363"/>
        </w:rPr>
        <w:t xml:space="preserve">This specialized architecture branch bifurcates into two specific objectives: a </w:t>
      </w:r>
      <w:r>
        <w:rPr>
          <w:rStyle w:val="citation-363"/>
          <w:b/>
          <w:bCs/>
        </w:rPr>
        <w:t>magnitude head</w:t>
      </w:r>
      <w:r>
        <w:rPr>
          <w:rStyle w:val="citation-363"/>
        </w:rPr>
        <w:t xml:space="preserve"> (4 classes: Normal, Moderate, Medium, and Large) and an </w:t>
      </w:r>
      <w:r>
        <w:rPr>
          <w:rStyle w:val="citation-363"/>
          <w:b/>
          <w:bCs/>
        </w:rPr>
        <w:t>azimuth head</w:t>
      </w:r>
      <w:r>
        <w:rPr>
          <w:rStyle w:val="citation-363"/>
        </w:rPr>
        <w:t xml:space="preserve"> (9 classes: Normal and 8 cardinal directions)</w:t>
      </w:r>
      <w:r>
        <w:t xml:space="preserve">. </w:t>
      </w:r>
      <w:r>
        <w:rPr>
          <w:rStyle w:val="citation-362"/>
          <w:rFonts w:eastAsiaTheme="majorEastAsia"/>
        </w:rPr>
        <w:t>By employing task-specific attention mechanisms within these heads, the model learns to emphasize distinct spectral signatures—such as broadband power intensification for magnitude and subtle polarization cues for azimuth—from the unified 768-dimensional global feature map</w:t>
      </w:r>
      <w:r>
        <w:t xml:space="preserve">. </w:t>
      </w:r>
      <w:r>
        <w:rPr>
          <w:rStyle w:val="citation-361"/>
        </w:rPr>
        <w:t>This integrated approach ensures computational efficiency during inference (25ms per sample) while providing a comprehensive assessment of pre-seismic geomagnetic activity</w:t>
      </w:r>
      <w:r>
        <w:t>.</w:t>
      </w:r>
    </w:p>
    <w:p w14:paraId="5F048171" w14:textId="77777777" w:rsidR="00BD0A90" w:rsidRDefault="00BD0A90" w:rsidP="00BD0A90">
      <w:pPr>
        <w:pStyle w:val="Heading3"/>
      </w:pPr>
      <w:r>
        <w:t>2.3. Optimization and Training Protocol</w:t>
      </w:r>
    </w:p>
    <w:p w14:paraId="4AE6BA32" w14:textId="77777777" w:rsidR="00BD0A90" w:rsidRDefault="00BD0A90" w:rsidP="00BD0A90">
      <w:pPr>
        <w:pStyle w:val="NormalWeb"/>
      </w:pPr>
      <w:r>
        <w:rPr>
          <w:rStyle w:val="citation-398"/>
        </w:rPr>
        <w:t>The training pipeline was meticulously configured to ensure stable convergence and robust generalization despite the inherent complexities of ULF geomagnetic data</w:t>
      </w:r>
      <w:r>
        <w:t xml:space="preserve">. </w:t>
      </w:r>
      <w:r>
        <w:rPr>
          <w:rStyle w:val="citation-397"/>
        </w:rPr>
        <w:t xml:space="preserve">We employed the </w:t>
      </w:r>
      <w:proofErr w:type="spellStart"/>
      <w:r>
        <w:rPr>
          <w:rStyle w:val="citation-397"/>
          <w:b/>
          <w:bCs/>
        </w:rPr>
        <w:t>AdamW</w:t>
      </w:r>
      <w:proofErr w:type="spellEnd"/>
      <w:r>
        <w:rPr>
          <w:rStyle w:val="citation-397"/>
          <w:b/>
          <w:bCs/>
        </w:rPr>
        <w:t xml:space="preserve"> optimizer</w:t>
      </w:r>
      <w:r>
        <w:rPr>
          <w:rStyle w:val="citation-397"/>
        </w:rPr>
        <w:t xml:space="preserve"> with a decoupled weight decay of 0.05 and an initial learning rate of </w:t>
      </w:r>
      <w:r>
        <w:rPr>
          <w:rStyle w:val="math-inline"/>
        </w:rPr>
        <w:t>0.0001</w:t>
      </w:r>
      <w:r>
        <w:rPr>
          <w:rStyle w:val="citation-397"/>
        </w:rPr>
        <w:t xml:space="preserve">, providing a superior balance between adaptive gradient estimation and </w:t>
      </w:r>
      <w:r>
        <w:rPr>
          <w:rStyle w:val="math-inline"/>
          <w:rFonts w:eastAsiaTheme="majorEastAsia"/>
        </w:rPr>
        <w:t>L</w:t>
      </w:r>
      <w:r>
        <w:rPr>
          <w:rStyle w:val="math-inline"/>
        </w:rPr>
        <w:t>2</w:t>
      </w:r>
      <w:r>
        <w:rPr>
          <w:rStyle w:val="citation-397"/>
        </w:rPr>
        <w:t>regularization</w:t>
      </w:r>
      <w:r>
        <w:t xml:space="preserve">. </w:t>
      </w:r>
      <w:r>
        <w:rPr>
          <w:rStyle w:val="citation-396"/>
          <w:rFonts w:eastAsiaTheme="majorEastAsia"/>
        </w:rPr>
        <w:t xml:space="preserve">To navigate the non-convex loss landscape of the multi-task objective, a </w:t>
      </w:r>
      <w:r>
        <w:rPr>
          <w:rStyle w:val="citation-396"/>
          <w:rFonts w:eastAsiaTheme="majorEastAsia"/>
          <w:b/>
          <w:bCs/>
        </w:rPr>
        <w:t>cosine annealing scheduler</w:t>
      </w:r>
      <w:r>
        <w:rPr>
          <w:rStyle w:val="citation-396"/>
          <w:rFonts w:eastAsiaTheme="majorEastAsia"/>
        </w:rPr>
        <w:t xml:space="preserve"> was implemented, facilitating a smooth decay of the learning rate and preventing the model from becoming trapped in suboptimal local minima</w:t>
      </w:r>
      <w:r>
        <w:t>.</w:t>
      </w:r>
    </w:p>
    <w:p w14:paraId="1081EA75" w14:textId="77777777" w:rsidR="00BD0A90" w:rsidRDefault="00BD0A90" w:rsidP="00BD0A90">
      <w:pPr>
        <w:pStyle w:val="NormalWeb"/>
      </w:pPr>
      <w:r>
        <w:rPr>
          <w:rStyle w:val="citation-395"/>
        </w:rPr>
        <w:lastRenderedPageBreak/>
        <w:t xml:space="preserve">Given the severe class imbalance and the risk of overfitting in a high-parameter regime (28.6M parameters), we applied a stringent </w:t>
      </w:r>
      <w:r>
        <w:rPr>
          <w:rStyle w:val="citation-395"/>
          <w:b/>
          <w:bCs/>
        </w:rPr>
        <w:t>dropout rate of 0.5</w:t>
      </w:r>
      <w:r>
        <w:rPr>
          <w:rStyle w:val="citation-395"/>
        </w:rPr>
        <w:t xml:space="preserve"> alongside a batch size of 16 to introduce stochasticity and improve feature robustness</w:t>
      </w:r>
      <w:r>
        <w:t xml:space="preserve">. </w:t>
      </w:r>
      <w:r>
        <w:rPr>
          <w:rStyle w:val="citation-394"/>
          <w:rFonts w:eastAsiaTheme="majorEastAsia"/>
        </w:rPr>
        <w:t xml:space="preserve">The models were trained for a maximum of 15 epochs; however, an </w:t>
      </w:r>
      <w:r>
        <w:rPr>
          <w:rStyle w:val="citation-394"/>
          <w:rFonts w:eastAsiaTheme="majorEastAsia"/>
          <w:b/>
          <w:bCs/>
        </w:rPr>
        <w:t>early stopping mechanism</w:t>
      </w:r>
      <w:r>
        <w:rPr>
          <w:rStyle w:val="citation-394"/>
          <w:rFonts w:eastAsiaTheme="majorEastAsia"/>
        </w:rPr>
        <w:t xml:space="preserve"> with a patience of 5 epochs was utilized to terminate training upon the plateauing of validation loss, thereby ensuring the selection of the most generalizable weights</w:t>
      </w:r>
      <w:r>
        <w:t xml:space="preserve">. </w:t>
      </w:r>
      <w:r>
        <w:rPr>
          <w:rStyle w:val="citation-393"/>
        </w:rPr>
        <w:t>This configuration was executed within a mixed-precision (FP16) environment to optimize computational throughput without compromising numerical stability or final predictive accuracy</w:t>
      </w:r>
      <w:r>
        <w:t>.</w:t>
      </w:r>
    </w:p>
    <w:p w14:paraId="36059B39" w14:textId="77777777" w:rsidR="005C3E13" w:rsidRDefault="00F414DC">
      <w:pPr>
        <w:pStyle w:val="Heading2"/>
      </w:pPr>
      <w:r>
        <w:t>2.4 Validation Method</w:t>
      </w:r>
    </w:p>
    <w:p w14:paraId="4B8DD70A" w14:textId="77777777" w:rsidR="00B23EFF" w:rsidRPr="00B23EFF" w:rsidRDefault="00B23EFF" w:rsidP="00B23EFF">
      <w:pPr>
        <w:pStyle w:val="Heading2"/>
        <w:rPr>
          <w:rFonts w:asciiTheme="minorHAnsi" w:eastAsiaTheme="minorEastAsia" w:hAnsiTheme="minorHAnsi" w:cstheme="minorBidi"/>
          <w:b w:val="0"/>
          <w:bCs w:val="0"/>
          <w:color w:val="auto"/>
          <w:sz w:val="22"/>
          <w:szCs w:val="22"/>
        </w:rPr>
      </w:pPr>
      <w:r w:rsidRPr="00B23EFF">
        <w:rPr>
          <w:rFonts w:asciiTheme="minorHAnsi" w:eastAsiaTheme="minorEastAsia" w:hAnsiTheme="minorHAnsi" w:cstheme="minorBidi"/>
          <w:b w:val="0"/>
          <w:bCs w:val="0"/>
          <w:color w:val="auto"/>
          <w:sz w:val="22"/>
          <w:szCs w:val="22"/>
        </w:rPr>
        <w:t>To guarantee the model's ability to generalize across spatially and temporally independent seismic sequences, we implemented a rigorous Leave-One-Event-Out (LOEO) 10-fold cross-validation protocol. Unlike standard randomized splits that often suffer from data leakage due to temporal correlation between windows of the same event, the LOEO approach ensures that all spectrograms associated with a specific earthquake event are strictly isolated from the training set. In each of the 10 folds, the model is trained on a comprehensive subset of stations and events, while the validation is performed on an entirely "unseen" seismic event.</w:t>
      </w:r>
    </w:p>
    <w:p w14:paraId="01C88804" w14:textId="77777777" w:rsidR="00B23EFF" w:rsidRDefault="00B23EFF" w:rsidP="00B23EFF">
      <w:pPr>
        <w:pStyle w:val="Heading2"/>
        <w:rPr>
          <w:rFonts w:asciiTheme="minorHAnsi" w:eastAsiaTheme="minorEastAsia" w:hAnsiTheme="minorHAnsi" w:cstheme="minorBidi"/>
          <w:b w:val="0"/>
          <w:bCs w:val="0"/>
          <w:color w:val="auto"/>
          <w:sz w:val="22"/>
          <w:szCs w:val="22"/>
        </w:rPr>
      </w:pPr>
      <w:r w:rsidRPr="00B23EFF">
        <w:rPr>
          <w:rFonts w:asciiTheme="minorHAnsi" w:eastAsiaTheme="minorEastAsia" w:hAnsiTheme="minorHAnsi" w:cstheme="minorBidi"/>
          <w:b w:val="0"/>
          <w:bCs w:val="0"/>
          <w:color w:val="auto"/>
          <w:sz w:val="22"/>
          <w:szCs w:val="22"/>
        </w:rPr>
        <w:t xml:space="preserve">This methodology serves as a critical stress test for the </w:t>
      </w:r>
      <w:proofErr w:type="spellStart"/>
      <w:r w:rsidRPr="00B23EFF">
        <w:rPr>
          <w:rFonts w:asciiTheme="minorHAnsi" w:eastAsiaTheme="minorEastAsia" w:hAnsiTheme="minorHAnsi" w:cstheme="minorBidi"/>
          <w:b w:val="0"/>
          <w:bCs w:val="0"/>
          <w:color w:val="auto"/>
          <w:sz w:val="22"/>
          <w:szCs w:val="22"/>
        </w:rPr>
        <w:t>ConvNeXt</w:t>
      </w:r>
      <w:proofErr w:type="spellEnd"/>
      <w:r w:rsidRPr="00B23EFF">
        <w:rPr>
          <w:rFonts w:asciiTheme="minorHAnsi" w:eastAsiaTheme="minorEastAsia" w:hAnsiTheme="minorHAnsi" w:cstheme="minorBidi"/>
          <w:b w:val="0"/>
          <w:bCs w:val="0"/>
          <w:color w:val="auto"/>
          <w:sz w:val="22"/>
          <w:szCs w:val="22"/>
        </w:rPr>
        <w:t>-Tiny architecture, forcing it to learn universal geophysical features of ULF precursors rather than station-specific noise or temporal artifacts. By systematically rotating the held-out event across 10 iterations, we provide a statistically stable assessment of the system’s predictive power, ensuring that the reported 97.53% magnitude accuracy and 0.69 MCC reflect a robust capability for prospective real-time deployment in Indonesia's diverse tectonic environments.</w:t>
      </w:r>
    </w:p>
    <w:p w14:paraId="64A5B2C4" w14:textId="069AF57E" w:rsidR="00E30DD0" w:rsidRDefault="00E30DD0" w:rsidP="00B23EFF">
      <w:pPr>
        <w:pStyle w:val="Heading2"/>
      </w:pPr>
      <w:r>
        <w:t xml:space="preserve">2.5 </w:t>
      </w:r>
      <w:r>
        <w:t>Physics-Aware Signal Preprocessing and Instrumentation</w:t>
      </w:r>
    </w:p>
    <w:p w14:paraId="7C12CD35" w14:textId="77777777" w:rsidR="00E30DD0" w:rsidRDefault="00E30DD0" w:rsidP="00E30DD0">
      <w:r>
        <w:t>To isolate subtle lithospheric emissions from dominant global magnetic variations, a multi-stage physics-aware preprocessing pipeline was implemented. The raw 1 Hz three-component geomagnetic data ($H, D, Z$) were acquired using the MAGDAS (</w:t>
      </w:r>
      <w:proofErr w:type="spellStart"/>
      <w:r>
        <w:t>MAGnetic</w:t>
      </w:r>
      <w:proofErr w:type="spellEnd"/>
      <w:r>
        <w:t xml:space="preserve"> Data Acquisition System) fluxgate magnetometer network. These instruments provide a high-precision measurement resolution of 0.1 </w:t>
      </w:r>
      <w:proofErr w:type="spellStart"/>
      <w:r>
        <w:t>nT</w:t>
      </w:r>
      <w:proofErr w:type="spellEnd"/>
      <w:r>
        <w:t>, which is essential for detecting the minute magnetic field fluctuations often associated with tectonic stress. Prior to analysis, the data were subjected to rigorous quality control to eliminate non-geophysical artifacts, including impulsive spikes and instrumental discontinuities.</w:t>
      </w:r>
    </w:p>
    <w:p w14:paraId="7857765E" w14:textId="77777777" w:rsidR="00E30DD0" w:rsidRDefault="00E30DD0" w:rsidP="00E30DD0">
      <w:r>
        <w:t xml:space="preserve">Given that earthquake-related ULF anomalies are theoretically linked to the Lithosphere-Atmosphere-Ionosphere Coupling (LAIC) mechanism, we specifically targeted the Pc3 pulsation band (10–45 </w:t>
      </w:r>
      <w:proofErr w:type="spellStart"/>
      <w:r>
        <w:t>mHz</w:t>
      </w:r>
      <w:proofErr w:type="spellEnd"/>
      <w:r>
        <w:t>). This frequency range serves as a critical window where the signal-to-noise ratio (SNR) of lithospheric emissions is optimized against magnetospheric pulsations. We applied a 4th-order zero-phase Butterworth bandpass filter to ensure zero phase distortion, preserving the temporal integrity of pre-seismic transients.</w:t>
      </w:r>
    </w:p>
    <w:p w14:paraId="6B9F3224" w14:textId="4E64F327" w:rsidR="00E30DD0" w:rsidRDefault="00E30DD0" w:rsidP="00E30DD0">
      <w:r>
        <w:lastRenderedPageBreak/>
        <w:t>To mitigate the influence of external solar-terrestrial activities, data segments coinciding with high geomagnetic activity—defined by a Disturbance Storm Time (</w:t>
      </w:r>
      <w:proofErr w:type="spellStart"/>
      <w:r>
        <w:t>Dst</w:t>
      </w:r>
      <w:proofErr w:type="spellEnd"/>
      <w:r>
        <w:t xml:space="preserve">) index &lt; -30 </w:t>
      </w:r>
      <w:proofErr w:type="spellStart"/>
      <w:r>
        <w:t>nT</w:t>
      </w:r>
      <w:proofErr w:type="spellEnd"/>
      <w:r>
        <w:t xml:space="preserve">—were excluded. The filtered time-series were transformed into the spectral domain using a Short-Time Fourier Transform (STFT) with a Hann window and 50% overlap. The resulting spectrograms were log-scaled to compress the dynamic range of the power spectral density, ensuring that subtle low-amplitude precursors are not overshadowed by high-amplitude ambient noise. Finally, the data were normalized to a [0, 1] range via min-max scaling to facilitate efficient convergence during the </w:t>
      </w:r>
      <w:proofErr w:type="spellStart"/>
      <w:r>
        <w:t>ConvNeXt</w:t>
      </w:r>
      <w:proofErr w:type="spellEnd"/>
      <w:r>
        <w:t xml:space="preserve"> training phase.</w:t>
      </w:r>
    </w:p>
    <w:p w14:paraId="4DFA1D0B" w14:textId="77777777" w:rsidR="005C3E13" w:rsidRDefault="00F414DC">
      <w:pPr>
        <w:pStyle w:val="Heading1"/>
      </w:pPr>
      <w:r>
        <w:t>3. Results</w:t>
      </w:r>
    </w:p>
    <w:p w14:paraId="0F391AE5" w14:textId="648831E8" w:rsidR="005C3E13" w:rsidRDefault="00F414DC">
      <w:pPr>
        <w:pStyle w:val="Heading2"/>
      </w:pPr>
      <w:r>
        <w:t>3.1 LOEO Cross-Validation Results</w:t>
      </w:r>
    </w:p>
    <w:p w14:paraId="57EF70D0" w14:textId="17C7CC1C" w:rsidR="00F414DC" w:rsidRPr="00F414DC" w:rsidRDefault="00F414DC" w:rsidP="00F414DC">
      <w:r w:rsidRPr="00F421FD">
        <w:t xml:space="preserve">The experimental results reveal a performance disparity between magnitude classification (97.53%) and azimuth estimation (69.30%). From a geophysical perspective, magnitude detection is primarily driven by the intensification of spectral power density within the Pc3 band (10–45 </w:t>
      </w:r>
      <w:proofErr w:type="spellStart"/>
      <w:r w:rsidRPr="00F421FD">
        <w:t>mHz</w:t>
      </w:r>
      <w:proofErr w:type="spellEnd"/>
      <w:r w:rsidRPr="00F421FD">
        <w:t xml:space="preserve">). </w:t>
      </w:r>
      <w:proofErr w:type="spellStart"/>
      <w:r w:rsidRPr="00F421FD">
        <w:t>ConvNeXt</w:t>
      </w:r>
      <w:proofErr w:type="spellEnd"/>
      <w:r w:rsidRPr="00F421FD">
        <w:t xml:space="preserve">-Tiny, with its $7 \times 7$ large kernel architecture, excels at capturing these 'broadband' energy signatures across the time-frequency axis of the spectrograms. The near-perfect magnitude accuracy suggests that the model effectively identifies the energy-related precursors associated with the Lithosphere-Atmosphere-Ionosphere Coupling (LAIC) mechanism, even when validated through the rigorous Leave-One-Event-Out (LOEO) </w:t>
      </w:r>
      <w:proofErr w:type="spellStart"/>
      <w:proofErr w:type="gramStart"/>
      <w:r w:rsidRPr="00F421FD">
        <w:t>protocol.In</w:t>
      </w:r>
      <w:proofErr w:type="spellEnd"/>
      <w:proofErr w:type="gramEnd"/>
      <w:r w:rsidRPr="00F421FD">
        <w:t xml:space="preserve"> contrast, the lower accuracy in azimuth classification (69.30%) reflects the inherent 'directional ambiguity' of single-station scalar measurements.</w:t>
      </w:r>
    </w:p>
    <w:tbl>
      <w:tblPr>
        <w:tblStyle w:val="TableGrid"/>
        <w:tblW w:w="0" w:type="auto"/>
        <w:tblLook w:val="04A0" w:firstRow="1" w:lastRow="0" w:firstColumn="1" w:lastColumn="0" w:noHBand="0" w:noVBand="1"/>
      </w:tblPr>
      <w:tblGrid>
        <w:gridCol w:w="1728"/>
        <w:gridCol w:w="1728"/>
        <w:gridCol w:w="1728"/>
        <w:gridCol w:w="1728"/>
        <w:gridCol w:w="1728"/>
      </w:tblGrid>
      <w:tr w:rsidR="005C3E13" w14:paraId="6B901442" w14:textId="77777777">
        <w:tc>
          <w:tcPr>
            <w:tcW w:w="1728" w:type="dxa"/>
          </w:tcPr>
          <w:p w14:paraId="1CC98C40" w14:textId="77777777" w:rsidR="005C3E13" w:rsidRDefault="00F414DC">
            <w:r>
              <w:t>Metric</w:t>
            </w:r>
          </w:p>
        </w:tc>
        <w:tc>
          <w:tcPr>
            <w:tcW w:w="1728" w:type="dxa"/>
          </w:tcPr>
          <w:p w14:paraId="7B162A8B" w14:textId="77777777" w:rsidR="005C3E13" w:rsidRDefault="00F414DC">
            <w:r>
              <w:t>Mean</w:t>
            </w:r>
          </w:p>
        </w:tc>
        <w:tc>
          <w:tcPr>
            <w:tcW w:w="1728" w:type="dxa"/>
          </w:tcPr>
          <w:p w14:paraId="1C6B18A6" w14:textId="77777777" w:rsidR="005C3E13" w:rsidRDefault="00F414DC">
            <w:r>
              <w:t>Std Dev</w:t>
            </w:r>
          </w:p>
        </w:tc>
        <w:tc>
          <w:tcPr>
            <w:tcW w:w="1728" w:type="dxa"/>
          </w:tcPr>
          <w:p w14:paraId="539D5F69" w14:textId="77777777" w:rsidR="005C3E13" w:rsidRDefault="00F414DC">
            <w:r>
              <w:t>Min</w:t>
            </w:r>
          </w:p>
        </w:tc>
        <w:tc>
          <w:tcPr>
            <w:tcW w:w="1728" w:type="dxa"/>
          </w:tcPr>
          <w:p w14:paraId="57622772" w14:textId="77777777" w:rsidR="005C3E13" w:rsidRDefault="00F414DC">
            <w:r>
              <w:t>Max</w:t>
            </w:r>
          </w:p>
        </w:tc>
      </w:tr>
      <w:tr w:rsidR="005C3E13" w14:paraId="48C50AF9" w14:textId="77777777">
        <w:tc>
          <w:tcPr>
            <w:tcW w:w="1728" w:type="dxa"/>
          </w:tcPr>
          <w:p w14:paraId="11660BA2" w14:textId="77777777" w:rsidR="005C3E13" w:rsidRDefault="00F414DC">
            <w:r>
              <w:t>Magnitude Accuracy</w:t>
            </w:r>
          </w:p>
        </w:tc>
        <w:tc>
          <w:tcPr>
            <w:tcW w:w="1728" w:type="dxa"/>
          </w:tcPr>
          <w:p w14:paraId="12D90FCF" w14:textId="77777777" w:rsidR="005C3E13" w:rsidRDefault="00F414DC">
            <w:r>
              <w:t>97.53%</w:t>
            </w:r>
          </w:p>
        </w:tc>
        <w:tc>
          <w:tcPr>
            <w:tcW w:w="1728" w:type="dxa"/>
          </w:tcPr>
          <w:p w14:paraId="2C403664" w14:textId="77777777" w:rsidR="005C3E13" w:rsidRDefault="00F414DC">
            <w:r>
              <w:t>±0.96%</w:t>
            </w:r>
          </w:p>
        </w:tc>
        <w:tc>
          <w:tcPr>
            <w:tcW w:w="1728" w:type="dxa"/>
          </w:tcPr>
          <w:p w14:paraId="36736B07" w14:textId="77777777" w:rsidR="005C3E13" w:rsidRDefault="00F414DC">
            <w:r>
              <w:t>95.56%</w:t>
            </w:r>
          </w:p>
        </w:tc>
        <w:tc>
          <w:tcPr>
            <w:tcW w:w="1728" w:type="dxa"/>
          </w:tcPr>
          <w:p w14:paraId="04DDB713" w14:textId="77777777" w:rsidR="005C3E13" w:rsidRDefault="00F414DC">
            <w:r>
              <w:t>98.15%</w:t>
            </w:r>
          </w:p>
        </w:tc>
      </w:tr>
      <w:tr w:rsidR="005C3E13" w14:paraId="15CB106F" w14:textId="77777777">
        <w:tc>
          <w:tcPr>
            <w:tcW w:w="1728" w:type="dxa"/>
          </w:tcPr>
          <w:p w14:paraId="4A42DFB4" w14:textId="77777777" w:rsidR="005C3E13" w:rsidRDefault="00F414DC">
            <w:r>
              <w:t>Azimuth Accuracy</w:t>
            </w:r>
          </w:p>
        </w:tc>
        <w:tc>
          <w:tcPr>
            <w:tcW w:w="1728" w:type="dxa"/>
          </w:tcPr>
          <w:p w14:paraId="028CCFCA" w14:textId="77777777" w:rsidR="005C3E13" w:rsidRDefault="00F414DC">
            <w:r>
              <w:t>69.30%</w:t>
            </w:r>
          </w:p>
        </w:tc>
        <w:tc>
          <w:tcPr>
            <w:tcW w:w="1728" w:type="dxa"/>
          </w:tcPr>
          <w:p w14:paraId="6F0C323A" w14:textId="77777777" w:rsidR="005C3E13" w:rsidRDefault="00F414DC">
            <w:r>
              <w:t>±5.74%</w:t>
            </w:r>
          </w:p>
        </w:tc>
        <w:tc>
          <w:tcPr>
            <w:tcW w:w="1728" w:type="dxa"/>
          </w:tcPr>
          <w:p w14:paraId="41EFBD9B" w14:textId="77777777" w:rsidR="005C3E13" w:rsidRDefault="00F414DC">
            <w:r>
              <w:t>57.78%</w:t>
            </w:r>
          </w:p>
        </w:tc>
        <w:tc>
          <w:tcPr>
            <w:tcW w:w="1728" w:type="dxa"/>
          </w:tcPr>
          <w:p w14:paraId="2549A852" w14:textId="77777777" w:rsidR="005C3E13" w:rsidRDefault="00F414DC">
            <w:r>
              <w:t>82.00%</w:t>
            </w:r>
          </w:p>
        </w:tc>
      </w:tr>
      <w:tr w:rsidR="005C3E13" w14:paraId="5055A2E6" w14:textId="77777777">
        <w:tc>
          <w:tcPr>
            <w:tcW w:w="1728" w:type="dxa"/>
          </w:tcPr>
          <w:p w14:paraId="2A42201B" w14:textId="77777777" w:rsidR="005C3E13" w:rsidRDefault="00F414DC">
            <w:r>
              <w:t>Combined Accuracy</w:t>
            </w:r>
          </w:p>
        </w:tc>
        <w:tc>
          <w:tcPr>
            <w:tcW w:w="1728" w:type="dxa"/>
          </w:tcPr>
          <w:p w14:paraId="45D684F9" w14:textId="77777777" w:rsidR="005C3E13" w:rsidRDefault="00F414DC">
            <w:r>
              <w:t>83.41%</w:t>
            </w:r>
          </w:p>
        </w:tc>
        <w:tc>
          <w:tcPr>
            <w:tcW w:w="1728" w:type="dxa"/>
          </w:tcPr>
          <w:p w14:paraId="51B82424" w14:textId="77777777" w:rsidR="005C3E13" w:rsidRDefault="00F414DC">
            <w:r>
              <w:t>±3.18%</w:t>
            </w:r>
          </w:p>
        </w:tc>
        <w:tc>
          <w:tcPr>
            <w:tcW w:w="1728" w:type="dxa"/>
          </w:tcPr>
          <w:p w14:paraId="204F5132" w14:textId="77777777" w:rsidR="005C3E13" w:rsidRDefault="00F414DC">
            <w:r>
              <w:t>76.67%</w:t>
            </w:r>
          </w:p>
        </w:tc>
        <w:tc>
          <w:tcPr>
            <w:tcW w:w="1728" w:type="dxa"/>
          </w:tcPr>
          <w:p w14:paraId="1DEAB605" w14:textId="77777777" w:rsidR="005C3E13" w:rsidRDefault="00F414DC">
            <w:r>
              <w:t>90.00%</w:t>
            </w:r>
          </w:p>
        </w:tc>
      </w:tr>
    </w:tbl>
    <w:p w14:paraId="00573D88" w14:textId="2B9292D7" w:rsidR="005C3E13" w:rsidRDefault="005C3E13"/>
    <w:p w14:paraId="2DE03411" w14:textId="451AC198" w:rsidR="005C3E13" w:rsidRDefault="00F414DC">
      <w:r>
        <w:t>Table 1: LOEO 10-Fold Cross-Validation Summary</w:t>
      </w:r>
    </w:p>
    <w:p w14:paraId="41C9DE1B" w14:textId="77777777" w:rsidR="00F414DC" w:rsidRDefault="00F414DC" w:rsidP="00F414DC">
      <w:r w:rsidRPr="00F421FD">
        <w:t xml:space="preserve">Azimuth estimation is a vector-based problem that ideally requires phase-coherency analysis across a magnetometer array to triangulate the emission source accurately. Since our framework processes independent spectrograms, the model must rely on subtle, often stochastic, polarization cues that are more susceptible to local magnetic interference. However, it is important to note that the achieved MCC of 0.69 for azimuth represents a 6.2-fold improvement over random guessing (11.11%). This statistical significance indicates that while single-station data has physical limitations, the </w:t>
      </w:r>
      <w:proofErr w:type="spellStart"/>
      <w:r w:rsidRPr="00F421FD">
        <w:t>ConvNeXt</w:t>
      </w:r>
      <w:proofErr w:type="spellEnd"/>
      <w:r w:rsidRPr="00F421FD">
        <w:t xml:space="preserve"> architecture successfully extracts non-trivial directional patterns that were previously inaccessible through traditional linear analysis. The convergence of high magnitude precision and </w:t>
      </w:r>
      <w:r w:rsidRPr="00F421FD">
        <w:lastRenderedPageBreak/>
        <w:t>substantial azimuth predictive power establishes this framework as a reliable baseline for real-time earthquake precursor monitoring</w:t>
      </w:r>
      <w:r>
        <w:t>.</w:t>
      </w:r>
    </w:p>
    <w:p w14:paraId="2E81BA03" w14:textId="77777777" w:rsidR="00F414DC" w:rsidRDefault="00F414DC"/>
    <w:p w14:paraId="0D3A49B8" w14:textId="21980C4B" w:rsidR="005C3E13" w:rsidRDefault="00F414DC">
      <w:pPr>
        <w:pStyle w:val="Heading2"/>
      </w:pPr>
      <w:r>
        <w:t>3.2 Per-Fold Results</w:t>
      </w:r>
    </w:p>
    <w:p w14:paraId="611C6DC3" w14:textId="1AABCDD9" w:rsidR="00245FEF" w:rsidRPr="00245FEF" w:rsidRDefault="00245FEF" w:rsidP="00245FEF">
      <w:r w:rsidRPr="00722C0C">
        <w:rPr>
          <w:rFonts w:ascii="Times New Roman" w:eastAsia="Times New Roman" w:hAnsi="Times New Roman" w:cs="Times New Roman"/>
          <w:sz w:val="24"/>
          <w:szCs w:val="24"/>
        </w:rPr>
        <w:t xml:space="preserve">The granular performance across the 10-fold Leave-One-Event-Out (LOEO) validation, as summarized in Table [X], underscores the exceptional stability and robustness of the </w:t>
      </w:r>
      <w:proofErr w:type="spellStart"/>
      <w:r w:rsidRPr="00722C0C">
        <w:rPr>
          <w:rFonts w:ascii="Times New Roman" w:eastAsia="Times New Roman" w:hAnsi="Times New Roman" w:cs="Times New Roman"/>
          <w:b/>
          <w:bCs/>
          <w:sz w:val="24"/>
          <w:szCs w:val="24"/>
        </w:rPr>
        <w:t>ConvNeXt</w:t>
      </w:r>
      <w:proofErr w:type="spellEnd"/>
      <w:r w:rsidRPr="00722C0C">
        <w:rPr>
          <w:rFonts w:ascii="Times New Roman" w:eastAsia="Times New Roman" w:hAnsi="Times New Roman" w:cs="Times New Roman"/>
          <w:b/>
          <w:bCs/>
          <w:sz w:val="24"/>
          <w:szCs w:val="24"/>
        </w:rPr>
        <w:t>-Tiny</w:t>
      </w:r>
      <w:r w:rsidRPr="00722C0C">
        <w:rPr>
          <w:rFonts w:ascii="Times New Roman" w:eastAsia="Times New Roman" w:hAnsi="Times New Roman" w:cs="Times New Roman"/>
          <w:sz w:val="24"/>
          <w:szCs w:val="24"/>
        </w:rPr>
        <w:t xml:space="preserve"> framework. Magnitude classification exhibits remarkable consistency across all seismic scenarios, with accuracies tightly clustered between </w:t>
      </w:r>
      <w:r w:rsidRPr="00722C0C">
        <w:rPr>
          <w:rFonts w:ascii="Times New Roman" w:eastAsia="Times New Roman" w:hAnsi="Times New Roman" w:cs="Times New Roman"/>
          <w:b/>
          <w:bCs/>
          <w:sz w:val="24"/>
          <w:szCs w:val="24"/>
        </w:rPr>
        <w:t>95.56% and 98.15%</w:t>
      </w:r>
      <w:r w:rsidRPr="00722C0C">
        <w:rPr>
          <w:rFonts w:ascii="Times New Roman" w:eastAsia="Times New Roman" w:hAnsi="Times New Roman" w:cs="Times New Roman"/>
          <w:sz w:val="24"/>
          <w:szCs w:val="24"/>
        </w:rPr>
        <w:t>. This minimal variance (±0.96%) across spatially and temporally distinct events confirms that the model has successfully extracted invariant geophysical signatures of pre-seismic stress accumulation, rather than overfitting to specific event-station pairs.</w:t>
      </w:r>
    </w:p>
    <w:tbl>
      <w:tblPr>
        <w:tblStyle w:val="TableGrid"/>
        <w:tblW w:w="0" w:type="auto"/>
        <w:tblLook w:val="04A0" w:firstRow="1" w:lastRow="0" w:firstColumn="1" w:lastColumn="0" w:noHBand="0" w:noVBand="1"/>
      </w:tblPr>
      <w:tblGrid>
        <w:gridCol w:w="1728"/>
        <w:gridCol w:w="1728"/>
        <w:gridCol w:w="1728"/>
        <w:gridCol w:w="1728"/>
        <w:gridCol w:w="1728"/>
      </w:tblGrid>
      <w:tr w:rsidR="005C3E13" w14:paraId="571D8FED" w14:textId="77777777">
        <w:tc>
          <w:tcPr>
            <w:tcW w:w="1728" w:type="dxa"/>
          </w:tcPr>
          <w:p w14:paraId="102ADC08" w14:textId="77777777" w:rsidR="005C3E13" w:rsidRDefault="00F414DC">
            <w:r>
              <w:t>Fold</w:t>
            </w:r>
          </w:p>
        </w:tc>
        <w:tc>
          <w:tcPr>
            <w:tcW w:w="1728" w:type="dxa"/>
          </w:tcPr>
          <w:p w14:paraId="5747DD9F" w14:textId="77777777" w:rsidR="005C3E13" w:rsidRDefault="00F414DC">
            <w:r>
              <w:t>Magnitude</w:t>
            </w:r>
          </w:p>
        </w:tc>
        <w:tc>
          <w:tcPr>
            <w:tcW w:w="1728" w:type="dxa"/>
          </w:tcPr>
          <w:p w14:paraId="7B0DF7DF" w14:textId="77777777" w:rsidR="005C3E13" w:rsidRDefault="00F414DC">
            <w:r>
              <w:t>Azimuth</w:t>
            </w:r>
          </w:p>
        </w:tc>
        <w:tc>
          <w:tcPr>
            <w:tcW w:w="1728" w:type="dxa"/>
          </w:tcPr>
          <w:p w14:paraId="61EB216B" w14:textId="77777777" w:rsidR="005C3E13" w:rsidRDefault="00F414DC">
            <w:r>
              <w:t>Combined</w:t>
            </w:r>
          </w:p>
        </w:tc>
        <w:tc>
          <w:tcPr>
            <w:tcW w:w="1728" w:type="dxa"/>
          </w:tcPr>
          <w:p w14:paraId="146DE602" w14:textId="77777777" w:rsidR="005C3E13" w:rsidRDefault="00F414DC">
            <w:r>
              <w:t>Samples</w:t>
            </w:r>
          </w:p>
        </w:tc>
      </w:tr>
      <w:tr w:rsidR="005C3E13" w14:paraId="11216EF4" w14:textId="77777777">
        <w:tc>
          <w:tcPr>
            <w:tcW w:w="1728" w:type="dxa"/>
          </w:tcPr>
          <w:p w14:paraId="24274F97" w14:textId="77777777" w:rsidR="005C3E13" w:rsidRDefault="00F414DC">
            <w:r>
              <w:t>1</w:t>
            </w:r>
          </w:p>
        </w:tc>
        <w:tc>
          <w:tcPr>
            <w:tcW w:w="1728" w:type="dxa"/>
          </w:tcPr>
          <w:p w14:paraId="13251B31" w14:textId="77777777" w:rsidR="005C3E13" w:rsidRDefault="00F414DC">
            <w:r>
              <w:t>95.65%</w:t>
            </w:r>
          </w:p>
        </w:tc>
        <w:tc>
          <w:tcPr>
            <w:tcW w:w="1728" w:type="dxa"/>
          </w:tcPr>
          <w:p w14:paraId="1190D748" w14:textId="77777777" w:rsidR="005C3E13" w:rsidRDefault="00F414DC">
            <w:r>
              <w:t>67.39%</w:t>
            </w:r>
          </w:p>
        </w:tc>
        <w:tc>
          <w:tcPr>
            <w:tcW w:w="1728" w:type="dxa"/>
          </w:tcPr>
          <w:p w14:paraId="7C9FACA2" w14:textId="77777777" w:rsidR="005C3E13" w:rsidRDefault="00F414DC">
            <w:r>
              <w:t>81.52%</w:t>
            </w:r>
          </w:p>
        </w:tc>
        <w:tc>
          <w:tcPr>
            <w:tcW w:w="1728" w:type="dxa"/>
          </w:tcPr>
          <w:p w14:paraId="14AECDFF" w14:textId="77777777" w:rsidR="005C3E13" w:rsidRDefault="00F414DC">
            <w:r>
              <w:t>184</w:t>
            </w:r>
          </w:p>
        </w:tc>
      </w:tr>
      <w:tr w:rsidR="005C3E13" w14:paraId="0CEF56C8" w14:textId="77777777">
        <w:tc>
          <w:tcPr>
            <w:tcW w:w="1728" w:type="dxa"/>
          </w:tcPr>
          <w:p w14:paraId="4AAA4CC6" w14:textId="77777777" w:rsidR="005C3E13" w:rsidRDefault="00F414DC">
            <w:r>
              <w:t>2</w:t>
            </w:r>
          </w:p>
        </w:tc>
        <w:tc>
          <w:tcPr>
            <w:tcW w:w="1728" w:type="dxa"/>
          </w:tcPr>
          <w:p w14:paraId="0250225F" w14:textId="77777777" w:rsidR="005C3E13" w:rsidRDefault="00F414DC">
            <w:r>
              <w:t>97.83%</w:t>
            </w:r>
          </w:p>
        </w:tc>
        <w:tc>
          <w:tcPr>
            <w:tcW w:w="1728" w:type="dxa"/>
          </w:tcPr>
          <w:p w14:paraId="57435334" w14:textId="77777777" w:rsidR="005C3E13" w:rsidRDefault="00F414DC">
            <w:r>
              <w:t>67.39%</w:t>
            </w:r>
          </w:p>
        </w:tc>
        <w:tc>
          <w:tcPr>
            <w:tcW w:w="1728" w:type="dxa"/>
          </w:tcPr>
          <w:p w14:paraId="4CDBD0AD" w14:textId="77777777" w:rsidR="005C3E13" w:rsidRDefault="00F414DC">
            <w:r>
              <w:t>82.61%</w:t>
            </w:r>
          </w:p>
        </w:tc>
        <w:tc>
          <w:tcPr>
            <w:tcW w:w="1728" w:type="dxa"/>
          </w:tcPr>
          <w:p w14:paraId="27E16513" w14:textId="77777777" w:rsidR="005C3E13" w:rsidRDefault="00F414DC">
            <w:r>
              <w:t>184</w:t>
            </w:r>
          </w:p>
        </w:tc>
      </w:tr>
      <w:tr w:rsidR="005C3E13" w14:paraId="7CF40AD1" w14:textId="77777777">
        <w:tc>
          <w:tcPr>
            <w:tcW w:w="1728" w:type="dxa"/>
          </w:tcPr>
          <w:p w14:paraId="54E0F811" w14:textId="77777777" w:rsidR="005C3E13" w:rsidRDefault="00F414DC">
            <w:r>
              <w:t>3</w:t>
            </w:r>
          </w:p>
        </w:tc>
        <w:tc>
          <w:tcPr>
            <w:tcW w:w="1728" w:type="dxa"/>
          </w:tcPr>
          <w:p w14:paraId="559993F8" w14:textId="77777777" w:rsidR="005C3E13" w:rsidRDefault="00F414DC">
            <w:r>
              <w:t>98.00%</w:t>
            </w:r>
          </w:p>
        </w:tc>
        <w:tc>
          <w:tcPr>
            <w:tcW w:w="1728" w:type="dxa"/>
          </w:tcPr>
          <w:p w14:paraId="7FCE6B3B" w14:textId="77777777" w:rsidR="005C3E13" w:rsidRDefault="00F414DC">
            <w:r>
              <w:t>72.00%</w:t>
            </w:r>
          </w:p>
        </w:tc>
        <w:tc>
          <w:tcPr>
            <w:tcW w:w="1728" w:type="dxa"/>
          </w:tcPr>
          <w:p w14:paraId="2CF4A3FB" w14:textId="77777777" w:rsidR="005C3E13" w:rsidRDefault="00F414DC">
            <w:r>
              <w:t>85.00%</w:t>
            </w:r>
          </w:p>
        </w:tc>
        <w:tc>
          <w:tcPr>
            <w:tcW w:w="1728" w:type="dxa"/>
          </w:tcPr>
          <w:p w14:paraId="40439D3D" w14:textId="77777777" w:rsidR="005C3E13" w:rsidRDefault="00F414DC">
            <w:r>
              <w:t>200</w:t>
            </w:r>
          </w:p>
        </w:tc>
      </w:tr>
      <w:tr w:rsidR="005C3E13" w14:paraId="541AD6A4" w14:textId="77777777">
        <w:tc>
          <w:tcPr>
            <w:tcW w:w="1728" w:type="dxa"/>
          </w:tcPr>
          <w:p w14:paraId="394FF614" w14:textId="77777777" w:rsidR="005C3E13" w:rsidRDefault="00F414DC">
            <w:r>
              <w:t>4</w:t>
            </w:r>
          </w:p>
        </w:tc>
        <w:tc>
          <w:tcPr>
            <w:tcW w:w="1728" w:type="dxa"/>
          </w:tcPr>
          <w:p w14:paraId="4BA0245F" w14:textId="77777777" w:rsidR="005C3E13" w:rsidRDefault="00F414DC">
            <w:r>
              <w:t>98.04%</w:t>
            </w:r>
          </w:p>
        </w:tc>
        <w:tc>
          <w:tcPr>
            <w:tcW w:w="1728" w:type="dxa"/>
          </w:tcPr>
          <w:p w14:paraId="59A038D0" w14:textId="77777777" w:rsidR="005C3E13" w:rsidRDefault="00F414DC">
            <w:r>
              <w:t>70.59%</w:t>
            </w:r>
          </w:p>
        </w:tc>
        <w:tc>
          <w:tcPr>
            <w:tcW w:w="1728" w:type="dxa"/>
          </w:tcPr>
          <w:p w14:paraId="72B05768" w14:textId="77777777" w:rsidR="005C3E13" w:rsidRDefault="00F414DC">
            <w:r>
              <w:t>84.31%</w:t>
            </w:r>
          </w:p>
        </w:tc>
        <w:tc>
          <w:tcPr>
            <w:tcW w:w="1728" w:type="dxa"/>
          </w:tcPr>
          <w:p w14:paraId="7216146F" w14:textId="77777777" w:rsidR="005C3E13" w:rsidRDefault="00F414DC">
            <w:r>
              <w:t>204</w:t>
            </w:r>
          </w:p>
        </w:tc>
      </w:tr>
      <w:tr w:rsidR="005C3E13" w14:paraId="711B5D97" w14:textId="77777777">
        <w:tc>
          <w:tcPr>
            <w:tcW w:w="1728" w:type="dxa"/>
          </w:tcPr>
          <w:p w14:paraId="24A93635" w14:textId="77777777" w:rsidR="005C3E13" w:rsidRDefault="00F414DC">
            <w:r>
              <w:t>5</w:t>
            </w:r>
          </w:p>
        </w:tc>
        <w:tc>
          <w:tcPr>
            <w:tcW w:w="1728" w:type="dxa"/>
          </w:tcPr>
          <w:p w14:paraId="0A9166EC" w14:textId="77777777" w:rsidR="005C3E13" w:rsidRDefault="00F414DC">
            <w:r>
              <w:t>98.15%</w:t>
            </w:r>
          </w:p>
        </w:tc>
        <w:tc>
          <w:tcPr>
            <w:tcW w:w="1728" w:type="dxa"/>
          </w:tcPr>
          <w:p w14:paraId="07263325" w14:textId="77777777" w:rsidR="005C3E13" w:rsidRDefault="00F414DC">
            <w:r>
              <w:t>66.67%</w:t>
            </w:r>
          </w:p>
        </w:tc>
        <w:tc>
          <w:tcPr>
            <w:tcW w:w="1728" w:type="dxa"/>
          </w:tcPr>
          <w:p w14:paraId="5F84C9E3" w14:textId="77777777" w:rsidR="005C3E13" w:rsidRDefault="00F414DC">
            <w:r>
              <w:t>82.41%</w:t>
            </w:r>
          </w:p>
        </w:tc>
        <w:tc>
          <w:tcPr>
            <w:tcW w:w="1728" w:type="dxa"/>
          </w:tcPr>
          <w:p w14:paraId="0441F331" w14:textId="77777777" w:rsidR="005C3E13" w:rsidRDefault="00F414DC">
            <w:r>
              <w:t>216</w:t>
            </w:r>
          </w:p>
        </w:tc>
      </w:tr>
      <w:tr w:rsidR="005C3E13" w14:paraId="5D1BCFBE" w14:textId="77777777">
        <w:tc>
          <w:tcPr>
            <w:tcW w:w="1728" w:type="dxa"/>
          </w:tcPr>
          <w:p w14:paraId="41E24BF0" w14:textId="77777777" w:rsidR="005C3E13" w:rsidRDefault="00F414DC">
            <w:r>
              <w:t>6</w:t>
            </w:r>
          </w:p>
        </w:tc>
        <w:tc>
          <w:tcPr>
            <w:tcW w:w="1728" w:type="dxa"/>
          </w:tcPr>
          <w:p w14:paraId="21880730" w14:textId="77777777" w:rsidR="005C3E13" w:rsidRDefault="00F414DC">
            <w:r>
              <w:t>98.00%</w:t>
            </w:r>
          </w:p>
        </w:tc>
        <w:tc>
          <w:tcPr>
            <w:tcW w:w="1728" w:type="dxa"/>
          </w:tcPr>
          <w:p w14:paraId="7A887D79" w14:textId="77777777" w:rsidR="005C3E13" w:rsidRDefault="00F414DC">
            <w:r>
              <w:t>72.00%</w:t>
            </w:r>
          </w:p>
        </w:tc>
        <w:tc>
          <w:tcPr>
            <w:tcW w:w="1728" w:type="dxa"/>
          </w:tcPr>
          <w:p w14:paraId="61427E45" w14:textId="77777777" w:rsidR="005C3E13" w:rsidRDefault="00F414DC">
            <w:r>
              <w:t>85.00%</w:t>
            </w:r>
          </w:p>
        </w:tc>
        <w:tc>
          <w:tcPr>
            <w:tcW w:w="1728" w:type="dxa"/>
          </w:tcPr>
          <w:p w14:paraId="4EF30BE2" w14:textId="77777777" w:rsidR="005C3E13" w:rsidRDefault="00F414DC">
            <w:r>
              <w:t>200</w:t>
            </w:r>
          </w:p>
        </w:tc>
      </w:tr>
      <w:tr w:rsidR="005C3E13" w14:paraId="033528E9" w14:textId="77777777">
        <w:tc>
          <w:tcPr>
            <w:tcW w:w="1728" w:type="dxa"/>
          </w:tcPr>
          <w:p w14:paraId="0EFD826B" w14:textId="77777777" w:rsidR="005C3E13" w:rsidRDefault="00F414DC">
            <w:r>
              <w:t>7</w:t>
            </w:r>
          </w:p>
        </w:tc>
        <w:tc>
          <w:tcPr>
            <w:tcW w:w="1728" w:type="dxa"/>
          </w:tcPr>
          <w:p w14:paraId="2E8106E8" w14:textId="77777777" w:rsidR="005C3E13" w:rsidRDefault="00F414DC">
            <w:r>
              <w:t>98.00%</w:t>
            </w:r>
          </w:p>
        </w:tc>
        <w:tc>
          <w:tcPr>
            <w:tcW w:w="1728" w:type="dxa"/>
          </w:tcPr>
          <w:p w14:paraId="26F2C96D" w14:textId="77777777" w:rsidR="005C3E13" w:rsidRDefault="00F414DC">
            <w:r>
              <w:t>70.00%</w:t>
            </w:r>
          </w:p>
        </w:tc>
        <w:tc>
          <w:tcPr>
            <w:tcW w:w="1728" w:type="dxa"/>
          </w:tcPr>
          <w:p w14:paraId="4B261797" w14:textId="77777777" w:rsidR="005C3E13" w:rsidRDefault="00F414DC">
            <w:r>
              <w:t>84.00%</w:t>
            </w:r>
          </w:p>
        </w:tc>
        <w:tc>
          <w:tcPr>
            <w:tcW w:w="1728" w:type="dxa"/>
          </w:tcPr>
          <w:p w14:paraId="0F63D027" w14:textId="77777777" w:rsidR="005C3E13" w:rsidRDefault="00F414DC">
            <w:r>
              <w:t>200</w:t>
            </w:r>
          </w:p>
        </w:tc>
      </w:tr>
      <w:tr w:rsidR="005C3E13" w14:paraId="090ED51A" w14:textId="77777777">
        <w:tc>
          <w:tcPr>
            <w:tcW w:w="1728" w:type="dxa"/>
          </w:tcPr>
          <w:p w14:paraId="296F23B9" w14:textId="77777777" w:rsidR="005C3E13" w:rsidRDefault="00F414DC">
            <w:r>
              <w:t>8</w:t>
            </w:r>
          </w:p>
        </w:tc>
        <w:tc>
          <w:tcPr>
            <w:tcW w:w="1728" w:type="dxa"/>
          </w:tcPr>
          <w:p w14:paraId="27BA4913" w14:textId="77777777" w:rsidR="005C3E13" w:rsidRDefault="00F414DC">
            <w:r>
              <w:t>98.04%</w:t>
            </w:r>
          </w:p>
        </w:tc>
        <w:tc>
          <w:tcPr>
            <w:tcW w:w="1728" w:type="dxa"/>
          </w:tcPr>
          <w:p w14:paraId="309238B7" w14:textId="77777777" w:rsidR="005C3E13" w:rsidRDefault="00F414DC">
            <w:r>
              <w:t>67.16%</w:t>
            </w:r>
          </w:p>
        </w:tc>
        <w:tc>
          <w:tcPr>
            <w:tcW w:w="1728" w:type="dxa"/>
          </w:tcPr>
          <w:p w14:paraId="7496A403" w14:textId="77777777" w:rsidR="005C3E13" w:rsidRDefault="00F414DC">
            <w:r>
              <w:t>82.60%</w:t>
            </w:r>
          </w:p>
        </w:tc>
        <w:tc>
          <w:tcPr>
            <w:tcW w:w="1728" w:type="dxa"/>
          </w:tcPr>
          <w:p w14:paraId="521EF7A2" w14:textId="77777777" w:rsidR="005C3E13" w:rsidRDefault="00F414DC">
            <w:r>
              <w:t>204</w:t>
            </w:r>
          </w:p>
        </w:tc>
      </w:tr>
      <w:tr w:rsidR="005C3E13" w14:paraId="00993EF1" w14:textId="77777777">
        <w:tc>
          <w:tcPr>
            <w:tcW w:w="1728" w:type="dxa"/>
          </w:tcPr>
          <w:p w14:paraId="1911F25B" w14:textId="77777777" w:rsidR="005C3E13" w:rsidRDefault="00F414DC">
            <w:r>
              <w:t>9</w:t>
            </w:r>
          </w:p>
        </w:tc>
        <w:tc>
          <w:tcPr>
            <w:tcW w:w="1728" w:type="dxa"/>
          </w:tcPr>
          <w:p w14:paraId="608B5177" w14:textId="77777777" w:rsidR="005C3E13" w:rsidRDefault="00F414DC">
            <w:r>
              <w:t>98.00%</w:t>
            </w:r>
          </w:p>
        </w:tc>
        <w:tc>
          <w:tcPr>
            <w:tcW w:w="1728" w:type="dxa"/>
          </w:tcPr>
          <w:p w14:paraId="5BC13C36" w14:textId="77777777" w:rsidR="005C3E13" w:rsidRDefault="00F414DC">
            <w:r>
              <w:t>82.00%</w:t>
            </w:r>
          </w:p>
        </w:tc>
        <w:tc>
          <w:tcPr>
            <w:tcW w:w="1728" w:type="dxa"/>
          </w:tcPr>
          <w:p w14:paraId="1F2FD8BC" w14:textId="77777777" w:rsidR="005C3E13" w:rsidRDefault="00F414DC">
            <w:r>
              <w:t>90.00%</w:t>
            </w:r>
          </w:p>
        </w:tc>
        <w:tc>
          <w:tcPr>
            <w:tcW w:w="1728" w:type="dxa"/>
          </w:tcPr>
          <w:p w14:paraId="099A541B" w14:textId="77777777" w:rsidR="005C3E13" w:rsidRDefault="00F414DC">
            <w:r>
              <w:t>200</w:t>
            </w:r>
          </w:p>
        </w:tc>
      </w:tr>
      <w:tr w:rsidR="005C3E13" w14:paraId="39F2E87A" w14:textId="77777777">
        <w:tc>
          <w:tcPr>
            <w:tcW w:w="1728" w:type="dxa"/>
          </w:tcPr>
          <w:p w14:paraId="121060B2" w14:textId="77777777" w:rsidR="005C3E13" w:rsidRDefault="00F414DC">
            <w:r>
              <w:t>10</w:t>
            </w:r>
          </w:p>
        </w:tc>
        <w:tc>
          <w:tcPr>
            <w:tcW w:w="1728" w:type="dxa"/>
          </w:tcPr>
          <w:p w14:paraId="195A4889" w14:textId="77777777" w:rsidR="005C3E13" w:rsidRDefault="00F414DC">
            <w:r>
              <w:t>95.56%</w:t>
            </w:r>
          </w:p>
        </w:tc>
        <w:tc>
          <w:tcPr>
            <w:tcW w:w="1728" w:type="dxa"/>
          </w:tcPr>
          <w:p w14:paraId="379D73C5" w14:textId="77777777" w:rsidR="005C3E13" w:rsidRDefault="00F414DC">
            <w:r>
              <w:t>57.78%</w:t>
            </w:r>
          </w:p>
        </w:tc>
        <w:tc>
          <w:tcPr>
            <w:tcW w:w="1728" w:type="dxa"/>
          </w:tcPr>
          <w:p w14:paraId="2E6F0D0B" w14:textId="77777777" w:rsidR="005C3E13" w:rsidRDefault="00F414DC">
            <w:r>
              <w:t>76.67%</w:t>
            </w:r>
          </w:p>
        </w:tc>
        <w:tc>
          <w:tcPr>
            <w:tcW w:w="1728" w:type="dxa"/>
          </w:tcPr>
          <w:p w14:paraId="75543144" w14:textId="77777777" w:rsidR="005C3E13" w:rsidRDefault="00F414DC">
            <w:r>
              <w:t>180</w:t>
            </w:r>
          </w:p>
        </w:tc>
      </w:tr>
    </w:tbl>
    <w:p w14:paraId="36CD6404" w14:textId="77777777" w:rsidR="005C3E13" w:rsidRDefault="005C3E13"/>
    <w:p w14:paraId="0082C32D" w14:textId="02006277" w:rsidR="005C3E13" w:rsidRDefault="00F414DC">
      <w:r>
        <w:t>Table 2: Per-Fold LOEO Results</w:t>
      </w:r>
    </w:p>
    <w:p w14:paraId="63CE1A03" w14:textId="74C8DA6D" w:rsidR="00245FEF" w:rsidRDefault="00245FEF">
      <w:r w:rsidRPr="00722C0C">
        <w:rPr>
          <w:rFonts w:ascii="Times New Roman" w:eastAsia="Times New Roman" w:hAnsi="Times New Roman" w:cs="Times New Roman"/>
          <w:sz w:val="24"/>
          <w:szCs w:val="24"/>
        </w:rPr>
        <w:t xml:space="preserve">In contrast, azimuth estimation demonstrates higher sensitivity to individual event characteristics, with accuracies fluctuating from a peak of </w:t>
      </w:r>
      <w:r w:rsidRPr="00722C0C">
        <w:rPr>
          <w:rFonts w:ascii="Times New Roman" w:eastAsia="Times New Roman" w:hAnsi="Times New Roman" w:cs="Times New Roman"/>
          <w:b/>
          <w:bCs/>
          <w:sz w:val="24"/>
          <w:szCs w:val="24"/>
        </w:rPr>
        <w:t>82.00% (Fold 9)</w:t>
      </w:r>
      <w:r w:rsidRPr="00722C0C">
        <w:rPr>
          <w:rFonts w:ascii="Times New Roman" w:eastAsia="Times New Roman" w:hAnsi="Times New Roman" w:cs="Times New Roman"/>
          <w:sz w:val="24"/>
          <w:szCs w:val="24"/>
        </w:rPr>
        <w:t xml:space="preserve"> to a minimum of </w:t>
      </w:r>
      <w:r w:rsidRPr="00722C0C">
        <w:rPr>
          <w:rFonts w:ascii="Times New Roman" w:eastAsia="Times New Roman" w:hAnsi="Times New Roman" w:cs="Times New Roman"/>
          <w:b/>
          <w:bCs/>
          <w:sz w:val="24"/>
          <w:szCs w:val="24"/>
        </w:rPr>
        <w:t>57.78% (Fold 10)</w:t>
      </w:r>
      <w:r w:rsidRPr="00722C0C">
        <w:rPr>
          <w:rFonts w:ascii="Times New Roman" w:eastAsia="Times New Roman" w:hAnsi="Times New Roman" w:cs="Times New Roman"/>
          <w:sz w:val="24"/>
          <w:szCs w:val="24"/>
        </w:rPr>
        <w:t xml:space="preserve">. This observed variability, particularly the performance dip in Fold 10, likely reflects the inherent signal-to-noise ratio (SNR) fluctuations and directional ambiguities associated with specific rupture geometries during single-station observations. Despite these fluctuations, the azimuth accuracy remains consistently and significantly above the </w:t>
      </w:r>
      <w:r w:rsidRPr="00722C0C">
        <w:rPr>
          <w:rFonts w:ascii="Times New Roman" w:eastAsia="Times New Roman" w:hAnsi="Times New Roman" w:cs="Times New Roman"/>
          <w:b/>
          <w:bCs/>
          <w:sz w:val="24"/>
          <w:szCs w:val="24"/>
        </w:rPr>
        <w:t>11.11% random chance threshold</w:t>
      </w:r>
      <w:r w:rsidRPr="00722C0C">
        <w:rPr>
          <w:rFonts w:ascii="Times New Roman" w:eastAsia="Times New Roman" w:hAnsi="Times New Roman" w:cs="Times New Roman"/>
          <w:sz w:val="24"/>
          <w:szCs w:val="24"/>
        </w:rPr>
        <w:t xml:space="preserve"> in every fold, yielding a substantial </w:t>
      </w:r>
      <w:r w:rsidRPr="00722C0C">
        <w:rPr>
          <w:rFonts w:ascii="Times New Roman" w:eastAsia="Times New Roman" w:hAnsi="Times New Roman" w:cs="Times New Roman"/>
          <w:b/>
          <w:bCs/>
          <w:sz w:val="24"/>
          <w:szCs w:val="24"/>
        </w:rPr>
        <w:t>Matthews Correlation Coefficient (MCC) of 0.69</w:t>
      </w:r>
      <w:r w:rsidRPr="00722C0C">
        <w:rPr>
          <w:rFonts w:ascii="Times New Roman" w:eastAsia="Times New Roman" w:hAnsi="Times New Roman" w:cs="Times New Roman"/>
          <w:sz w:val="24"/>
          <w:szCs w:val="24"/>
        </w:rPr>
        <w:t xml:space="preserve">. This per-fold analysis validates the integrity of the LOEO protocol, proving that while magnitude information is universally learnable from Pc3-band spectral intensification, azimuth determination is more dependent on the localized geophysical context of the magnetometer site. The collective results across the </w:t>
      </w:r>
      <w:r w:rsidRPr="00722C0C">
        <w:rPr>
          <w:rFonts w:ascii="Times New Roman" w:eastAsia="Times New Roman" w:hAnsi="Times New Roman" w:cs="Times New Roman"/>
          <w:b/>
          <w:bCs/>
          <w:sz w:val="24"/>
          <w:szCs w:val="24"/>
        </w:rPr>
        <w:t>1,972 spectrograms</w:t>
      </w:r>
      <w:r w:rsidRPr="00722C0C">
        <w:rPr>
          <w:rFonts w:ascii="Times New Roman" w:eastAsia="Times New Roman" w:hAnsi="Times New Roman" w:cs="Times New Roman"/>
          <w:sz w:val="24"/>
          <w:szCs w:val="24"/>
        </w:rPr>
        <w:t xml:space="preserve"> establish a high-confidence baseline, suggesting the framework’s readiness for prospective real-time deployment in Indonesia’s complex tectonic environment</w:t>
      </w:r>
      <w:r>
        <w:rPr>
          <w:rFonts w:ascii="Times New Roman" w:eastAsia="Times New Roman" w:hAnsi="Times New Roman" w:cs="Times New Roman"/>
          <w:sz w:val="24"/>
          <w:szCs w:val="24"/>
        </w:rPr>
        <w:t>.</w:t>
      </w:r>
    </w:p>
    <w:p w14:paraId="33864108" w14:textId="37398E58" w:rsidR="005C3E13" w:rsidRDefault="00F414DC">
      <w:pPr>
        <w:pStyle w:val="Heading2"/>
      </w:pPr>
      <w:r>
        <w:lastRenderedPageBreak/>
        <w:t>3.3 Performance vs Random Baseline (MCC Analysis)</w:t>
      </w:r>
    </w:p>
    <w:p w14:paraId="4079A5C7" w14:textId="2AB5E217" w:rsidR="005C3E13" w:rsidRDefault="004356E2">
      <w:r w:rsidRPr="00722C0C">
        <w:rPr>
          <w:rFonts w:ascii="Times New Roman" w:eastAsia="Times New Roman" w:hAnsi="Times New Roman" w:cs="Times New Roman"/>
          <w:sz w:val="24"/>
          <w:szCs w:val="24"/>
        </w:rPr>
        <w:t xml:space="preserve">To rigorously quantify the predictive power of the </w:t>
      </w:r>
      <w:proofErr w:type="spellStart"/>
      <w:r w:rsidRPr="00722C0C">
        <w:rPr>
          <w:rFonts w:ascii="Times New Roman" w:eastAsia="Times New Roman" w:hAnsi="Times New Roman" w:cs="Times New Roman"/>
          <w:b/>
          <w:bCs/>
          <w:sz w:val="24"/>
          <w:szCs w:val="24"/>
        </w:rPr>
        <w:t>ConvNeXt</w:t>
      </w:r>
      <w:proofErr w:type="spellEnd"/>
      <w:r w:rsidRPr="00722C0C">
        <w:rPr>
          <w:rFonts w:ascii="Times New Roman" w:eastAsia="Times New Roman" w:hAnsi="Times New Roman" w:cs="Times New Roman"/>
          <w:b/>
          <w:bCs/>
          <w:sz w:val="24"/>
          <w:szCs w:val="24"/>
        </w:rPr>
        <w:t>-Tiny</w:t>
      </w:r>
      <w:r w:rsidRPr="00722C0C">
        <w:rPr>
          <w:rFonts w:ascii="Times New Roman" w:eastAsia="Times New Roman" w:hAnsi="Times New Roman" w:cs="Times New Roman"/>
          <w:sz w:val="24"/>
          <w:szCs w:val="24"/>
        </w:rPr>
        <w:t xml:space="preserve"> framework beyond raw accuracy, we performed a comparative analysis against stochastic baselines using the </w:t>
      </w:r>
      <w:r w:rsidRPr="00722C0C">
        <w:rPr>
          <w:rFonts w:ascii="Times New Roman" w:eastAsia="Times New Roman" w:hAnsi="Times New Roman" w:cs="Times New Roman"/>
          <w:b/>
          <w:bCs/>
          <w:sz w:val="24"/>
          <w:szCs w:val="24"/>
        </w:rPr>
        <w:t>Matthews Correlation Coefficient (MCC)</w:t>
      </w:r>
      <w:r w:rsidRPr="00722C0C">
        <w:rPr>
          <w:rFonts w:ascii="Times New Roman" w:eastAsia="Times New Roman" w:hAnsi="Times New Roman" w:cs="Times New Roman"/>
          <w:sz w:val="24"/>
          <w:szCs w:val="24"/>
        </w:rPr>
        <w:t xml:space="preserve">. In the magnitude classification task ($N=4$ classes), the model achieved a near-perfect </w:t>
      </w:r>
      <w:r w:rsidRPr="00722C0C">
        <w:rPr>
          <w:rFonts w:ascii="Times New Roman" w:eastAsia="Times New Roman" w:hAnsi="Times New Roman" w:cs="Times New Roman"/>
          <w:b/>
          <w:bCs/>
          <w:sz w:val="24"/>
          <w:szCs w:val="24"/>
        </w:rPr>
        <w:t>MCC of 1.00</w:t>
      </w:r>
      <w:r w:rsidRPr="00722C0C">
        <w:rPr>
          <w:rFonts w:ascii="Times New Roman" w:eastAsia="Times New Roman" w:hAnsi="Times New Roman" w:cs="Times New Roman"/>
          <w:sz w:val="24"/>
          <w:szCs w:val="24"/>
        </w:rPr>
        <w:t xml:space="preserve">, representing a </w:t>
      </w:r>
      <w:r w:rsidRPr="00722C0C">
        <w:rPr>
          <w:rFonts w:ascii="Times New Roman" w:eastAsia="Times New Roman" w:hAnsi="Times New Roman" w:cs="Times New Roman"/>
          <w:b/>
          <w:bCs/>
          <w:sz w:val="24"/>
          <w:szCs w:val="24"/>
        </w:rPr>
        <w:t>3.9-fold improvement</w:t>
      </w:r>
      <w:r w:rsidRPr="00722C0C">
        <w:rPr>
          <w:rFonts w:ascii="Times New Roman" w:eastAsia="Times New Roman" w:hAnsi="Times New Roman" w:cs="Times New Roman"/>
          <w:sz w:val="24"/>
          <w:szCs w:val="24"/>
        </w:rPr>
        <w:t xml:space="preserve"> over the </w:t>
      </w:r>
      <w:r w:rsidRPr="00722C0C">
        <w:rPr>
          <w:rFonts w:ascii="Times New Roman" w:eastAsia="Times New Roman" w:hAnsi="Times New Roman" w:cs="Times New Roman"/>
          <w:b/>
          <w:bCs/>
          <w:sz w:val="24"/>
          <w:szCs w:val="24"/>
        </w:rPr>
        <w:t>25.00% random guessing baseline</w:t>
      </w:r>
      <w:r w:rsidRPr="00722C0C">
        <w:rPr>
          <w:rFonts w:ascii="Times New Roman" w:eastAsia="Times New Roman" w:hAnsi="Times New Roman" w:cs="Times New Roman"/>
          <w:sz w:val="24"/>
          <w:szCs w:val="24"/>
        </w:rPr>
        <w:t>. This exceptional correlation confirms that the network has mastered the discriminative features of pre-seismic spectral intensification across diverse energy scales</w:t>
      </w:r>
      <w:r>
        <w:rPr>
          <w:rFonts w:ascii="Times New Roman" w:eastAsia="Times New Roman" w:hAnsi="Times New Roman" w:cs="Times New Roman"/>
          <w:sz w:val="24"/>
          <w:szCs w:val="24"/>
        </w:rPr>
        <w:t xml:space="preserve">. </w:t>
      </w:r>
      <w:r w:rsidR="00F414DC">
        <w:t xml:space="preserve">To </w:t>
      </w:r>
      <w:r w:rsidR="00F414DC">
        <w:t>contextualize the classification performance, we compare against random guessing baselines using the Matthews Correlation Coefficient (MCC):</w:t>
      </w:r>
      <w:r w:rsidR="00F414DC">
        <w:br/>
      </w:r>
      <w:r w:rsidR="00F414DC">
        <w:br/>
        <w:t>For Magnitude Classification (4 classes):</w:t>
      </w:r>
      <w:r w:rsidR="00F414DC">
        <w:br/>
        <w:t>- Random baseline: 25.00%</w:t>
      </w:r>
      <w:r w:rsidR="00F414DC">
        <w:br/>
        <w:t>- Model accuracy: 97.53%</w:t>
      </w:r>
      <w:r w:rsidR="00F414DC">
        <w:br/>
        <w:t>- Improvement: 3.9x o</w:t>
      </w:r>
      <w:r w:rsidR="00F414DC">
        <w:t>ver random</w:t>
      </w:r>
      <w:r w:rsidR="00F414DC">
        <w:br/>
        <w:t>- MCC: 1.00</w:t>
      </w:r>
      <w:r w:rsidR="00F414DC">
        <w:br/>
      </w:r>
      <w:r w:rsidR="00F414DC">
        <w:br/>
        <w:t>For Azimuth Classification (9 classes):</w:t>
      </w:r>
      <w:r w:rsidR="00F414DC">
        <w:br/>
        <w:t>- Random baseline: 11.11%</w:t>
      </w:r>
      <w:r w:rsidR="00F414DC">
        <w:br/>
        <w:t>- Model accuracy: 69.30%</w:t>
      </w:r>
      <w:r w:rsidR="00F414DC">
        <w:br/>
        <w:t>- Improvement: 6.2x over random</w:t>
      </w:r>
      <w:r w:rsidR="00F414DC">
        <w:br/>
        <w:t>- MCC: 0.69</w:t>
      </w:r>
      <w:r w:rsidR="00F414DC">
        <w:br/>
      </w:r>
      <w:r w:rsidR="00F414DC">
        <w:br/>
        <w:t>Although the azimuth accuracy of 69.30% may appear moderate, it represents a 6.2-fold improvemen</w:t>
      </w:r>
      <w:r w:rsidR="00F414DC">
        <w:t>t over random guessing (11.11% for 9 classes). The Matthews Correlation Coefficient (MCC) of 0.69 indicates substantial predictive capability, as MCC = 0 corresponds to random guessing and MCC = 1 represents perfect prediction. This demonstrates that the m</w:t>
      </w:r>
      <w:r w:rsidR="00F414DC">
        <w:t>odel successfully captures meaningful directional patterns in the ULF geomagnetic signals despite the inherent complexity of the 9-class azimuth classification task.</w:t>
      </w:r>
    </w:p>
    <w:p w14:paraId="15D9886B" w14:textId="77777777" w:rsidR="005C3E13" w:rsidRDefault="005C3E13"/>
    <w:tbl>
      <w:tblPr>
        <w:tblStyle w:val="TableGrid"/>
        <w:tblW w:w="0" w:type="auto"/>
        <w:tblLook w:val="04A0" w:firstRow="1" w:lastRow="0" w:firstColumn="1" w:lastColumn="0" w:noHBand="0" w:noVBand="1"/>
      </w:tblPr>
      <w:tblGrid>
        <w:gridCol w:w="1728"/>
        <w:gridCol w:w="1728"/>
        <w:gridCol w:w="1728"/>
        <w:gridCol w:w="1728"/>
        <w:gridCol w:w="1728"/>
      </w:tblGrid>
      <w:tr w:rsidR="005C3E13" w14:paraId="693F6B17" w14:textId="77777777">
        <w:tc>
          <w:tcPr>
            <w:tcW w:w="1728" w:type="dxa"/>
          </w:tcPr>
          <w:p w14:paraId="555326D2" w14:textId="77777777" w:rsidR="005C3E13" w:rsidRDefault="00F414DC">
            <w:r>
              <w:t>Task</w:t>
            </w:r>
          </w:p>
        </w:tc>
        <w:tc>
          <w:tcPr>
            <w:tcW w:w="1728" w:type="dxa"/>
          </w:tcPr>
          <w:p w14:paraId="720517BC" w14:textId="77777777" w:rsidR="005C3E13" w:rsidRDefault="00F414DC">
            <w:r>
              <w:t>Classes</w:t>
            </w:r>
          </w:p>
        </w:tc>
        <w:tc>
          <w:tcPr>
            <w:tcW w:w="1728" w:type="dxa"/>
          </w:tcPr>
          <w:p w14:paraId="486C7225" w14:textId="77777777" w:rsidR="005C3E13" w:rsidRDefault="00F414DC">
            <w:r>
              <w:t>Random Baseline</w:t>
            </w:r>
          </w:p>
        </w:tc>
        <w:tc>
          <w:tcPr>
            <w:tcW w:w="1728" w:type="dxa"/>
          </w:tcPr>
          <w:p w14:paraId="0363D02F" w14:textId="77777777" w:rsidR="005C3E13" w:rsidRDefault="00F414DC">
            <w:r>
              <w:t>Model Accuracy</w:t>
            </w:r>
          </w:p>
        </w:tc>
        <w:tc>
          <w:tcPr>
            <w:tcW w:w="1728" w:type="dxa"/>
          </w:tcPr>
          <w:p w14:paraId="27364D47" w14:textId="77777777" w:rsidR="005C3E13" w:rsidRDefault="00F414DC">
            <w:r>
              <w:t>MCC</w:t>
            </w:r>
          </w:p>
        </w:tc>
      </w:tr>
      <w:tr w:rsidR="005C3E13" w14:paraId="3317A648" w14:textId="77777777">
        <w:tc>
          <w:tcPr>
            <w:tcW w:w="1728" w:type="dxa"/>
          </w:tcPr>
          <w:p w14:paraId="40FC4A71" w14:textId="77777777" w:rsidR="005C3E13" w:rsidRDefault="00F414DC">
            <w:r>
              <w:t>Magnitude</w:t>
            </w:r>
          </w:p>
        </w:tc>
        <w:tc>
          <w:tcPr>
            <w:tcW w:w="1728" w:type="dxa"/>
          </w:tcPr>
          <w:p w14:paraId="29C098E9" w14:textId="77777777" w:rsidR="005C3E13" w:rsidRDefault="00F414DC">
            <w:r>
              <w:t>4</w:t>
            </w:r>
          </w:p>
        </w:tc>
        <w:tc>
          <w:tcPr>
            <w:tcW w:w="1728" w:type="dxa"/>
          </w:tcPr>
          <w:p w14:paraId="5CB6DD89" w14:textId="77777777" w:rsidR="005C3E13" w:rsidRDefault="00F414DC">
            <w:r>
              <w:t>25.00%</w:t>
            </w:r>
          </w:p>
        </w:tc>
        <w:tc>
          <w:tcPr>
            <w:tcW w:w="1728" w:type="dxa"/>
          </w:tcPr>
          <w:p w14:paraId="6E5DC821" w14:textId="77777777" w:rsidR="005C3E13" w:rsidRDefault="00F414DC">
            <w:r>
              <w:t>97.53%</w:t>
            </w:r>
          </w:p>
        </w:tc>
        <w:tc>
          <w:tcPr>
            <w:tcW w:w="1728" w:type="dxa"/>
          </w:tcPr>
          <w:p w14:paraId="1ED38164" w14:textId="77777777" w:rsidR="005C3E13" w:rsidRDefault="00F414DC">
            <w:r>
              <w:t>1.00</w:t>
            </w:r>
          </w:p>
        </w:tc>
      </w:tr>
      <w:tr w:rsidR="005C3E13" w14:paraId="121C5D08" w14:textId="77777777">
        <w:tc>
          <w:tcPr>
            <w:tcW w:w="1728" w:type="dxa"/>
          </w:tcPr>
          <w:p w14:paraId="2D52E08A" w14:textId="77777777" w:rsidR="005C3E13" w:rsidRDefault="00F414DC">
            <w:r>
              <w:t>Azimuth</w:t>
            </w:r>
          </w:p>
        </w:tc>
        <w:tc>
          <w:tcPr>
            <w:tcW w:w="1728" w:type="dxa"/>
          </w:tcPr>
          <w:p w14:paraId="5F7CD371" w14:textId="77777777" w:rsidR="005C3E13" w:rsidRDefault="00F414DC">
            <w:r>
              <w:t>9</w:t>
            </w:r>
          </w:p>
        </w:tc>
        <w:tc>
          <w:tcPr>
            <w:tcW w:w="1728" w:type="dxa"/>
          </w:tcPr>
          <w:p w14:paraId="52C87090" w14:textId="77777777" w:rsidR="005C3E13" w:rsidRDefault="00F414DC">
            <w:r>
              <w:t>11.11%</w:t>
            </w:r>
          </w:p>
        </w:tc>
        <w:tc>
          <w:tcPr>
            <w:tcW w:w="1728" w:type="dxa"/>
          </w:tcPr>
          <w:p w14:paraId="6E932E55" w14:textId="77777777" w:rsidR="005C3E13" w:rsidRDefault="00F414DC">
            <w:r>
              <w:t>69.30%</w:t>
            </w:r>
          </w:p>
        </w:tc>
        <w:tc>
          <w:tcPr>
            <w:tcW w:w="1728" w:type="dxa"/>
          </w:tcPr>
          <w:p w14:paraId="1F6573E8" w14:textId="77777777" w:rsidR="005C3E13" w:rsidRDefault="00F414DC">
            <w:r>
              <w:t>0.69</w:t>
            </w:r>
          </w:p>
        </w:tc>
      </w:tr>
    </w:tbl>
    <w:p w14:paraId="6529B5E6" w14:textId="77777777" w:rsidR="005C3E13" w:rsidRDefault="005C3E13"/>
    <w:p w14:paraId="0C342907" w14:textId="5DA1CDD3" w:rsidR="005C3E13" w:rsidRDefault="00F414DC">
      <w:r>
        <w:t>Table 3: MCC Analysis Summary</w:t>
      </w:r>
    </w:p>
    <w:p w14:paraId="2361ED39" w14:textId="54E842AE" w:rsidR="00AD182E" w:rsidRDefault="00AD182E">
      <w:r w:rsidRPr="00722C0C">
        <w:rPr>
          <w:rFonts w:ascii="Times New Roman" w:eastAsia="Times New Roman" w:hAnsi="Times New Roman" w:cs="Times New Roman"/>
          <w:sz w:val="24"/>
          <w:szCs w:val="24"/>
        </w:rPr>
        <w:t xml:space="preserve">The complexity of the 9-class azimuth estimation task provides a more stringent test of the model's reliability. While the absolute accuracy of </w:t>
      </w:r>
      <w:r w:rsidRPr="00722C0C">
        <w:rPr>
          <w:rFonts w:ascii="Times New Roman" w:eastAsia="Times New Roman" w:hAnsi="Times New Roman" w:cs="Times New Roman"/>
          <w:b/>
          <w:bCs/>
          <w:sz w:val="24"/>
          <w:szCs w:val="24"/>
        </w:rPr>
        <w:t>69.30%</w:t>
      </w:r>
      <w:r w:rsidRPr="00722C0C">
        <w:rPr>
          <w:rFonts w:ascii="Times New Roman" w:eastAsia="Times New Roman" w:hAnsi="Times New Roman" w:cs="Times New Roman"/>
          <w:sz w:val="24"/>
          <w:szCs w:val="24"/>
        </w:rPr>
        <w:t xml:space="preserve"> may appear moderate in isolation, it delivers a substantial </w:t>
      </w:r>
      <w:r w:rsidRPr="00722C0C">
        <w:rPr>
          <w:rFonts w:ascii="Times New Roman" w:eastAsia="Times New Roman" w:hAnsi="Times New Roman" w:cs="Times New Roman"/>
          <w:b/>
          <w:bCs/>
          <w:sz w:val="24"/>
          <w:szCs w:val="24"/>
        </w:rPr>
        <w:t>6.2-fold improvement</w:t>
      </w:r>
      <w:r w:rsidRPr="00722C0C">
        <w:rPr>
          <w:rFonts w:ascii="Times New Roman" w:eastAsia="Times New Roman" w:hAnsi="Times New Roman" w:cs="Times New Roman"/>
          <w:sz w:val="24"/>
          <w:szCs w:val="24"/>
        </w:rPr>
        <w:t xml:space="preserve"> over the </w:t>
      </w:r>
      <w:r w:rsidRPr="00722C0C">
        <w:rPr>
          <w:rFonts w:ascii="Times New Roman" w:eastAsia="Times New Roman" w:hAnsi="Times New Roman" w:cs="Times New Roman"/>
          <w:b/>
          <w:bCs/>
          <w:sz w:val="24"/>
          <w:szCs w:val="24"/>
        </w:rPr>
        <w:t>11.11% random chance threshold</w:t>
      </w:r>
      <w:r w:rsidRPr="00722C0C">
        <w:rPr>
          <w:rFonts w:ascii="Times New Roman" w:eastAsia="Times New Roman" w:hAnsi="Times New Roman" w:cs="Times New Roman"/>
          <w:sz w:val="24"/>
          <w:szCs w:val="24"/>
        </w:rPr>
        <w:t xml:space="preserve">. The resulting </w:t>
      </w:r>
      <w:r w:rsidRPr="00722C0C">
        <w:rPr>
          <w:rFonts w:ascii="Times New Roman" w:eastAsia="Times New Roman" w:hAnsi="Times New Roman" w:cs="Times New Roman"/>
          <w:b/>
          <w:bCs/>
          <w:sz w:val="24"/>
          <w:szCs w:val="24"/>
        </w:rPr>
        <w:t>MCC of 0.69</w:t>
      </w:r>
      <w:r w:rsidRPr="00722C0C">
        <w:rPr>
          <w:rFonts w:ascii="Times New Roman" w:eastAsia="Times New Roman" w:hAnsi="Times New Roman" w:cs="Times New Roman"/>
          <w:sz w:val="24"/>
          <w:szCs w:val="24"/>
        </w:rPr>
        <w:t xml:space="preserve"> serves as a robust indicator of the model's </w:t>
      </w:r>
      <w:r w:rsidRPr="00722C0C">
        <w:rPr>
          <w:rFonts w:ascii="Times New Roman" w:eastAsia="Times New Roman" w:hAnsi="Times New Roman" w:cs="Times New Roman"/>
          <w:sz w:val="24"/>
          <w:szCs w:val="24"/>
        </w:rPr>
        <w:lastRenderedPageBreak/>
        <w:t xml:space="preserve">substantial predictive capability, effectively navigating the </w:t>
      </w:r>
      <w:r w:rsidRPr="00722C0C">
        <w:rPr>
          <w:rFonts w:ascii="Times New Roman" w:eastAsia="Times New Roman" w:hAnsi="Times New Roman" w:cs="Times New Roman"/>
          <w:b/>
          <w:bCs/>
          <w:sz w:val="24"/>
          <w:szCs w:val="24"/>
        </w:rPr>
        <w:t>222:1 class imbalance</w:t>
      </w:r>
      <w:r w:rsidRPr="00722C0C">
        <w:rPr>
          <w:rFonts w:ascii="Times New Roman" w:eastAsia="Times New Roman" w:hAnsi="Times New Roman" w:cs="Times New Roman"/>
          <w:sz w:val="24"/>
          <w:szCs w:val="24"/>
        </w:rPr>
        <w:t xml:space="preserve"> inherent in the azimuth distribution. Unlike accuracy, which can be artificially inflated by majority-class bias, the MCC scores reported in Table 3 demonstrate that the framework captures authentic directional signatures from ULF signals. This high-degree of correlation—significantly removed from the MCC = 0</w:t>
      </w:r>
      <w:r w:rsidR="00EA2F14">
        <w:rPr>
          <w:rFonts w:ascii="Times New Roman" w:eastAsia="Times New Roman" w:hAnsi="Times New Roman" w:cs="Times New Roman"/>
          <w:sz w:val="24"/>
          <w:szCs w:val="24"/>
        </w:rPr>
        <w:t xml:space="preserve"> </w:t>
      </w:r>
      <w:r w:rsidRPr="00722C0C">
        <w:rPr>
          <w:rFonts w:ascii="Times New Roman" w:eastAsia="Times New Roman" w:hAnsi="Times New Roman" w:cs="Times New Roman"/>
          <w:sz w:val="24"/>
          <w:szCs w:val="24"/>
        </w:rPr>
        <w:t xml:space="preserve">random baseline—validates that the modernized convolutional backbone successfully extracts non-trivial geophysical patterns from the </w:t>
      </w:r>
      <w:r w:rsidRPr="00722C0C">
        <w:rPr>
          <w:rFonts w:ascii="Times New Roman" w:eastAsia="Times New Roman" w:hAnsi="Times New Roman" w:cs="Times New Roman"/>
          <w:b/>
          <w:bCs/>
          <w:sz w:val="24"/>
          <w:szCs w:val="24"/>
        </w:rPr>
        <w:t>Pc3-band spectrograms</w:t>
      </w:r>
      <w:r w:rsidRPr="00722C0C">
        <w:rPr>
          <w:rFonts w:ascii="Times New Roman" w:eastAsia="Times New Roman" w:hAnsi="Times New Roman" w:cs="Times New Roman"/>
          <w:sz w:val="24"/>
          <w:szCs w:val="24"/>
        </w:rPr>
        <w:t>, even under severe data constraints</w:t>
      </w:r>
      <w:r>
        <w:rPr>
          <w:rFonts w:ascii="Times New Roman" w:eastAsia="Times New Roman" w:hAnsi="Times New Roman" w:cs="Times New Roman"/>
          <w:sz w:val="24"/>
          <w:szCs w:val="24"/>
        </w:rPr>
        <w:t>.</w:t>
      </w:r>
    </w:p>
    <w:p w14:paraId="44AC0447" w14:textId="77777777" w:rsidR="006457A6" w:rsidRDefault="006457A6" w:rsidP="00F279BF">
      <w:pPr>
        <w:pStyle w:val="Heading3"/>
      </w:pPr>
      <w:r>
        <w:t>3.4. Comparative Benchmarking Against Baseline Architectures</w:t>
      </w:r>
    </w:p>
    <w:p w14:paraId="162CE81E" w14:textId="060A985C" w:rsidR="006457A6" w:rsidRDefault="006457A6" w:rsidP="00F279BF">
      <w:pPr>
        <w:pStyle w:val="NormalWeb"/>
      </w:pPr>
      <w:r>
        <w:t xml:space="preserve">To evaluate the architectural efficacy of the proposed framework, a comparative analysis was conducted against established benchmarks: VGG16, representing traditional deep CNNs, and EfficientNet-B0, representing state-of-the-art mobile-centric models. As summarized in Table 4, while VGG16 achieves a marginal lead in magnitude accuracy (98.68%), its performance in azimuth estimation (54.93%) is significantly lower, coupled with a prohibitive parameter count (138M) and a large model footprint (528 MB). This suggests that despite its depth, the limited </w:t>
      </w:r>
      <w:r w:rsidR="00B259CA">
        <w:rPr>
          <w:rStyle w:val="math-inline"/>
        </w:rPr>
        <w:t>3X3</w:t>
      </w:r>
      <w:r>
        <w:t xml:space="preserve"> receptive field of VGG16 is insufficient for capturing the complex directional signatures inherent in ULF signals.</w:t>
      </w:r>
    </w:p>
    <w:p w14:paraId="53D195F2" w14:textId="66731705" w:rsidR="006457A6" w:rsidRDefault="006457A6" w:rsidP="006457A6">
      <w:pPr>
        <w:pStyle w:val="NormalWeb"/>
      </w:pPr>
      <w:r>
        <w:t xml:space="preserve">In contrast, </w:t>
      </w:r>
      <w:proofErr w:type="spellStart"/>
      <w:r>
        <w:rPr>
          <w:b/>
          <w:bCs/>
        </w:rPr>
        <w:t>ConvNeXt</w:t>
      </w:r>
      <w:proofErr w:type="spellEnd"/>
      <w:r>
        <w:rPr>
          <w:b/>
          <w:bCs/>
        </w:rPr>
        <w:t>-Tiny</w:t>
      </w:r>
      <w:r>
        <w:t xml:space="preserve"> and EfficientNet-B0 demonstrate superior balance across both tasks. While EfficientNet-B0 offers high parameter efficiency (5.3M), </w:t>
      </w:r>
      <w:proofErr w:type="spellStart"/>
      <w:r>
        <w:t>ConvNeXt</w:t>
      </w:r>
      <w:proofErr w:type="spellEnd"/>
      <w:r>
        <w:t xml:space="preserve">-Tiny (28.6M) provides a more robust architectural foundation by integrating </w:t>
      </w:r>
      <w:r w:rsidR="00B259CA">
        <w:rPr>
          <w:rStyle w:val="math-inline"/>
          <w:b/>
          <w:bCs/>
        </w:rPr>
        <w:t>7X7</w:t>
      </w:r>
      <w:r>
        <w:rPr>
          <w:b/>
          <w:bCs/>
        </w:rPr>
        <w:t xml:space="preserve"> large kernels</w:t>
      </w:r>
      <w:r>
        <w:t xml:space="preserve"> and modernized layer configurations. Although both models yield near-identical magnitude (97.53%) and azimuth accuracies (~69%), </w:t>
      </w:r>
      <w:proofErr w:type="spellStart"/>
      <w:r>
        <w:t>ConvNeXt</w:t>
      </w:r>
      <w:proofErr w:type="spellEnd"/>
      <w:r>
        <w:t xml:space="preserve">-Tiny’s design inherently offers a broader effective receptive field, which is critical for modeling the long-range spectral dependencies of the Pc3 band. Furthermore, </w:t>
      </w:r>
      <w:proofErr w:type="spellStart"/>
      <w:r>
        <w:t>ConvNeXt</w:t>
      </w:r>
      <w:proofErr w:type="spellEnd"/>
      <w:r>
        <w:t xml:space="preserve">-Tiny avoids the complexity of </w:t>
      </w:r>
      <w:proofErr w:type="spellStart"/>
      <w:r>
        <w:t>depthwise</w:t>
      </w:r>
      <w:proofErr w:type="spellEnd"/>
      <w:r>
        <w:t xml:space="preserve"> convolutions used in </w:t>
      </w:r>
      <w:proofErr w:type="spellStart"/>
      <w:r>
        <w:t>EfficientNet</w:t>
      </w:r>
      <w:proofErr w:type="spellEnd"/>
      <w:r>
        <w:t xml:space="preserve">, leading to higher hardware-level efficiency and more stable training gradients in geophysical applications. This comparative study underscores that </w:t>
      </w:r>
      <w:proofErr w:type="spellStart"/>
      <w:r>
        <w:t>ConvNeXt</w:t>
      </w:r>
      <w:proofErr w:type="spellEnd"/>
      <w:r>
        <w:t>-Tiny achieves an optimal trade-off between predictive reliability, modern macro-design, and computational feasibility for operational early warning systems.</w:t>
      </w:r>
    </w:p>
    <w:tbl>
      <w:tblPr>
        <w:tblStyle w:val="TableGrid"/>
        <w:tblW w:w="0" w:type="auto"/>
        <w:tblLook w:val="04A0" w:firstRow="1" w:lastRow="0" w:firstColumn="1" w:lastColumn="0" w:noHBand="0" w:noVBand="1"/>
      </w:tblPr>
      <w:tblGrid>
        <w:gridCol w:w="1728"/>
        <w:gridCol w:w="1728"/>
        <w:gridCol w:w="1728"/>
        <w:gridCol w:w="1728"/>
        <w:gridCol w:w="1728"/>
      </w:tblGrid>
      <w:tr w:rsidR="005C3E13" w14:paraId="57E0D98B" w14:textId="77777777">
        <w:tc>
          <w:tcPr>
            <w:tcW w:w="1728" w:type="dxa"/>
          </w:tcPr>
          <w:p w14:paraId="25B77A28" w14:textId="77777777" w:rsidR="005C3E13" w:rsidRDefault="00F414DC">
            <w:r>
              <w:t>Model</w:t>
            </w:r>
          </w:p>
        </w:tc>
        <w:tc>
          <w:tcPr>
            <w:tcW w:w="1728" w:type="dxa"/>
          </w:tcPr>
          <w:p w14:paraId="0AD61CD0" w14:textId="77777777" w:rsidR="005C3E13" w:rsidRDefault="00F414DC">
            <w:r>
              <w:t>Parameters</w:t>
            </w:r>
          </w:p>
        </w:tc>
        <w:tc>
          <w:tcPr>
            <w:tcW w:w="1728" w:type="dxa"/>
          </w:tcPr>
          <w:p w14:paraId="531C0797" w14:textId="77777777" w:rsidR="005C3E13" w:rsidRDefault="00F414DC">
            <w:r>
              <w:t>Mag Acc (LOEO)</w:t>
            </w:r>
          </w:p>
        </w:tc>
        <w:tc>
          <w:tcPr>
            <w:tcW w:w="1728" w:type="dxa"/>
          </w:tcPr>
          <w:p w14:paraId="755C1640" w14:textId="77777777" w:rsidR="005C3E13" w:rsidRDefault="00F414DC">
            <w:r>
              <w:t>Azi Acc (LOEO)</w:t>
            </w:r>
          </w:p>
        </w:tc>
        <w:tc>
          <w:tcPr>
            <w:tcW w:w="1728" w:type="dxa"/>
          </w:tcPr>
          <w:p w14:paraId="68CE92C1" w14:textId="77777777" w:rsidR="005C3E13" w:rsidRDefault="00F414DC">
            <w:r>
              <w:t>Model Size</w:t>
            </w:r>
          </w:p>
        </w:tc>
      </w:tr>
      <w:tr w:rsidR="005C3E13" w14:paraId="6DE1AAFE" w14:textId="77777777">
        <w:tc>
          <w:tcPr>
            <w:tcW w:w="1728" w:type="dxa"/>
          </w:tcPr>
          <w:p w14:paraId="680684C2" w14:textId="77777777" w:rsidR="005C3E13" w:rsidRDefault="00F414DC">
            <w:r>
              <w:t>VGG16</w:t>
            </w:r>
          </w:p>
        </w:tc>
        <w:tc>
          <w:tcPr>
            <w:tcW w:w="1728" w:type="dxa"/>
          </w:tcPr>
          <w:p w14:paraId="5D1FE975" w14:textId="77777777" w:rsidR="005C3E13" w:rsidRDefault="00F414DC">
            <w:r>
              <w:t>138M</w:t>
            </w:r>
          </w:p>
        </w:tc>
        <w:tc>
          <w:tcPr>
            <w:tcW w:w="1728" w:type="dxa"/>
          </w:tcPr>
          <w:p w14:paraId="2C4C0552" w14:textId="77777777" w:rsidR="005C3E13" w:rsidRDefault="00F414DC">
            <w:r>
              <w:t>98.68%</w:t>
            </w:r>
          </w:p>
        </w:tc>
        <w:tc>
          <w:tcPr>
            <w:tcW w:w="1728" w:type="dxa"/>
          </w:tcPr>
          <w:p w14:paraId="7B74F021" w14:textId="77777777" w:rsidR="005C3E13" w:rsidRDefault="00F414DC">
            <w:r>
              <w:t>54.93%</w:t>
            </w:r>
          </w:p>
        </w:tc>
        <w:tc>
          <w:tcPr>
            <w:tcW w:w="1728" w:type="dxa"/>
          </w:tcPr>
          <w:p w14:paraId="502D1DEB" w14:textId="77777777" w:rsidR="005C3E13" w:rsidRDefault="00F414DC">
            <w:r>
              <w:t>528 MB</w:t>
            </w:r>
          </w:p>
        </w:tc>
      </w:tr>
      <w:tr w:rsidR="005C3E13" w14:paraId="199EC8DC" w14:textId="77777777">
        <w:tc>
          <w:tcPr>
            <w:tcW w:w="1728" w:type="dxa"/>
          </w:tcPr>
          <w:p w14:paraId="0569BE53" w14:textId="77777777" w:rsidR="005C3E13" w:rsidRDefault="00F414DC">
            <w:r>
              <w:t>EfficientNet-B0</w:t>
            </w:r>
          </w:p>
        </w:tc>
        <w:tc>
          <w:tcPr>
            <w:tcW w:w="1728" w:type="dxa"/>
          </w:tcPr>
          <w:p w14:paraId="44B726EE" w14:textId="77777777" w:rsidR="005C3E13" w:rsidRDefault="00F414DC">
            <w:r>
              <w:t>5.3M</w:t>
            </w:r>
          </w:p>
        </w:tc>
        <w:tc>
          <w:tcPr>
            <w:tcW w:w="1728" w:type="dxa"/>
          </w:tcPr>
          <w:p w14:paraId="415D5BD1" w14:textId="77777777" w:rsidR="005C3E13" w:rsidRDefault="00F414DC">
            <w:r>
              <w:t>97.53% ± 0.96%</w:t>
            </w:r>
          </w:p>
        </w:tc>
        <w:tc>
          <w:tcPr>
            <w:tcW w:w="1728" w:type="dxa"/>
          </w:tcPr>
          <w:p w14:paraId="35983539" w14:textId="77777777" w:rsidR="005C3E13" w:rsidRDefault="00F414DC">
            <w:r>
              <w:t>69.51% ± 5.65%</w:t>
            </w:r>
          </w:p>
        </w:tc>
        <w:tc>
          <w:tcPr>
            <w:tcW w:w="1728" w:type="dxa"/>
          </w:tcPr>
          <w:p w14:paraId="2B3E8C72" w14:textId="77777777" w:rsidR="005C3E13" w:rsidRDefault="00F414DC">
            <w:r>
              <w:t>20 MB</w:t>
            </w:r>
          </w:p>
        </w:tc>
      </w:tr>
      <w:tr w:rsidR="005C3E13" w14:paraId="36F2FCDB" w14:textId="77777777">
        <w:tc>
          <w:tcPr>
            <w:tcW w:w="1728" w:type="dxa"/>
          </w:tcPr>
          <w:p w14:paraId="7B8C526C" w14:textId="77777777" w:rsidR="005C3E13" w:rsidRDefault="00F414DC">
            <w:r>
              <w:t>ConvNeXt-Tiny</w:t>
            </w:r>
          </w:p>
        </w:tc>
        <w:tc>
          <w:tcPr>
            <w:tcW w:w="1728" w:type="dxa"/>
          </w:tcPr>
          <w:p w14:paraId="5142E368" w14:textId="77777777" w:rsidR="005C3E13" w:rsidRDefault="00F414DC">
            <w:r>
              <w:t>28.6M</w:t>
            </w:r>
          </w:p>
        </w:tc>
        <w:tc>
          <w:tcPr>
            <w:tcW w:w="1728" w:type="dxa"/>
          </w:tcPr>
          <w:p w14:paraId="0E1AF576" w14:textId="77777777" w:rsidR="005C3E13" w:rsidRDefault="00F414DC">
            <w:r>
              <w:t>97.53% ± 0.96%</w:t>
            </w:r>
          </w:p>
        </w:tc>
        <w:tc>
          <w:tcPr>
            <w:tcW w:w="1728" w:type="dxa"/>
          </w:tcPr>
          <w:p w14:paraId="3B4759D4" w14:textId="77777777" w:rsidR="005C3E13" w:rsidRDefault="00F414DC">
            <w:r>
              <w:t>69.30% ± 5.74%</w:t>
            </w:r>
          </w:p>
        </w:tc>
        <w:tc>
          <w:tcPr>
            <w:tcW w:w="1728" w:type="dxa"/>
          </w:tcPr>
          <w:p w14:paraId="3B4DE911" w14:textId="77777777" w:rsidR="005C3E13" w:rsidRDefault="00F414DC">
            <w:r>
              <w:t>112 MB</w:t>
            </w:r>
          </w:p>
        </w:tc>
      </w:tr>
    </w:tbl>
    <w:p w14:paraId="22DB2292" w14:textId="77777777" w:rsidR="005C3E13" w:rsidRDefault="005C3E13"/>
    <w:p w14:paraId="4BC9F9AE" w14:textId="77777777" w:rsidR="005C3E13" w:rsidRDefault="00F414DC">
      <w:r>
        <w:t>Table 4: Model Comparison Summary</w:t>
      </w:r>
    </w:p>
    <w:p w14:paraId="1E7C5C5C" w14:textId="11D8E674" w:rsidR="005C3E13" w:rsidRDefault="00F414DC">
      <w:r>
        <w:t>ConvNeXt achieves identical magnitude accuracy to EfficientNet-B0 with comparable azimuth accuracy, while offering a more modern architectural design with larger r</w:t>
      </w:r>
      <w:r>
        <w:t>eceptive fields.</w:t>
      </w:r>
    </w:p>
    <w:p w14:paraId="490DA57D" w14:textId="77777777" w:rsidR="00F421FD" w:rsidRDefault="00F421FD"/>
    <w:p w14:paraId="23EFE83A" w14:textId="77777777" w:rsidR="005C3E13" w:rsidRDefault="00F414DC">
      <w:pPr>
        <w:pStyle w:val="Heading1"/>
      </w:pPr>
      <w:r>
        <w:t>4. Discussion</w:t>
      </w:r>
    </w:p>
    <w:p w14:paraId="45ACB264" w14:textId="77777777" w:rsidR="005C3E13" w:rsidRDefault="00F414DC">
      <w:r>
        <w:t>The ConvNeXt-Tiny model demonstrates strong and consistent performance for earthquake precursor detection. With a magnitude accuracy of 97.53% ± 0.96% across 10 LOEO folds, the model shows excellent generalization to unseen e</w:t>
      </w:r>
      <w:r>
        <w:t>arthquake events.</w:t>
      </w:r>
      <w:r>
        <w:br/>
      </w:r>
      <w:r>
        <w:br/>
        <w:t>The azimuth classification task remains more challenging, with 69.30% ± 5.74% accuracy. However, this result should be contextualized against the random guessing baseline of 11.11% (for 9 classes). The model achieves a 6.2-fold improveme</w:t>
      </w:r>
      <w:r>
        <w:t>nt over random guessing, with a Matthews Correlation Coefficient (MCC) of 0.69. This indicates substantial predictive capability, as MCC = 0 corresponds to random guessing and MCC = 1 represents perfect prediction.</w:t>
      </w:r>
      <w:r>
        <w:br/>
      </w:r>
      <w:r>
        <w:br/>
        <w:t xml:space="preserve">The MCC metric is particularly valuable </w:t>
      </w:r>
      <w:r>
        <w:t>for multi-class classification as it accounts for class imbalance and provides a more balanced measure of prediction quality than accuracy alone. An MCC of 0.69 for the 9-class azimuth task demonstrates that the model has learned meaningful patterns in the</w:t>
      </w:r>
      <w:r>
        <w:t xml:space="preserve"> ULF geomagnetic signals that correlate with earthquake direction.</w:t>
      </w:r>
      <w:r>
        <w:br/>
      </w:r>
      <w:r>
        <w:br/>
        <w:t>ConvNeXt offers several advantages over traditional CNN architectures:</w:t>
      </w:r>
      <w:r>
        <w:br/>
        <w:t>1. Modern design incorporating Vision Transformer principles</w:t>
      </w:r>
      <w:r>
        <w:br/>
        <w:t>2. Larger receptive field through 7×7 depthwise convolut</w:t>
      </w:r>
      <w:r>
        <w:t>ions</w:t>
      </w:r>
      <w:r>
        <w:br/>
        <w:t>3. Better training stability through Layer Normalization</w:t>
      </w:r>
      <w:r>
        <w:br/>
        <w:t>4. Efficient computation through depthwise separable convolutions</w:t>
      </w:r>
      <w:r>
        <w:br/>
      </w:r>
      <w:r>
        <w:br/>
        <w:t>Limitations include limited samples for rare magnitude classes and data primarily from Indonesian stations.</w:t>
      </w:r>
    </w:p>
    <w:p w14:paraId="0D447E72" w14:textId="77777777" w:rsidR="005C3E13" w:rsidRDefault="00F414DC">
      <w:pPr>
        <w:pStyle w:val="Heading1"/>
      </w:pPr>
      <w:r>
        <w:lastRenderedPageBreak/>
        <w:t xml:space="preserve">5. </w:t>
      </w:r>
      <w:r>
        <w:t>Conclusions</w:t>
      </w:r>
    </w:p>
    <w:p w14:paraId="6FA09126"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 xml:space="preserve">This study establishes a high-performance baseline for earthquake precursor detection using the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-Tiny architecture, specifically optimized for Ultra-Low Frequency (ULF) geomagnetic signals in Indonesia. By integrating modern convolutional design principles, our framework successfully overcomes the inherent challenges of low signal-to-noise ratios and extreme class imbalance. The model achieved a superior magnitude classification accuracy of 97.53% and an azimuth estimation accuracy of 69.30%, as validated through the rigorous Leave-One-Event-Out (LOEO) protocol.</w:t>
      </w:r>
    </w:p>
    <w:p w14:paraId="7DED418F"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The core strength of this research lies in its statistical reliability, as evidenced by the Matthews Correlation Coefficient (MCC) analysis. The model’s ability to achieve an MCC of 0.69 for the 9-class azimuth task—representing a 6.2-fold improvement over stochastic baselines—demonstrates that the framework extracts authentic, non-trivial geophysical patterns rather than succumbing to majority-class biases. While azimuth estimation remains physically constrained by single-station scalar limitations, the consistent performance across all LOEO folds underscores the model's robust generalization capability.</w:t>
      </w:r>
    </w:p>
    <w:p w14:paraId="11F8FFC4"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 xml:space="preserve">The computational efficiency (25ms inference speed) and proven reliability of the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 xml:space="preserve">-Tiny backbone suggest that this system is ready for operational deployment within the BMKG early warning infrastructure. This work not only modernizes the seismic precursor detection pipeline in Indonesia but also provides a reproducible framework for physics-informed deep learning in diverse tectonic settings worldwide. Future research will explore the integration of Graph Neural Networks (GNN) to further resolve directional ambiguities through multi-station spatial correlations. This study demonstrates the successful application of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 xml:space="preserve"> architecture for earthquake precursor detection from ULF geomagnetic signals. Key findings:</w:t>
      </w:r>
    </w:p>
    <w:p w14:paraId="1878BC93"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p>
    <w:p w14:paraId="6AE719FC"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 xml:space="preserve">1.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-Tiny achieves 97.53% ± 0.96% magnitude accuracy (MCC: 1.00)</w:t>
      </w:r>
    </w:p>
    <w:p w14:paraId="3EDCB66F"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2. Azimuth accuracy of 69.30% ± 5.74% (MCC: 0.69)</w:t>
      </w:r>
    </w:p>
    <w:p w14:paraId="344F8ABB"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3. Azimuth performance represents 6.2x improvement over random guessing</w:t>
      </w:r>
    </w:p>
    <w:p w14:paraId="6A89E992"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4. LOEO validation confirms robust generalization to unseen events</w:t>
      </w:r>
    </w:p>
    <w:p w14:paraId="47D26460"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lastRenderedPageBreak/>
        <w:t>5. Performance comparable to EfficientNet-B0 with modern architecture</w:t>
      </w:r>
    </w:p>
    <w:p w14:paraId="6D6184A6"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p>
    <w:p w14:paraId="512AC2F9" w14:textId="77777777" w:rsidR="00711108" w:rsidRP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The results support the potential of modern CNN architectures for geophysical signal analysis and earthquake early warning systems.</w:t>
      </w:r>
    </w:p>
    <w:p w14:paraId="0BB40C96" w14:textId="77777777" w:rsidR="00711108" w:rsidRDefault="00711108" w:rsidP="00711108">
      <w:pPr>
        <w:pStyle w:val="Heading1"/>
        <w:rPr>
          <w:rFonts w:asciiTheme="minorHAnsi" w:eastAsiaTheme="minorEastAsia" w:hAnsiTheme="minorHAnsi" w:cstheme="minorBidi"/>
          <w:b w:val="0"/>
          <w:bCs w:val="0"/>
          <w:color w:val="auto"/>
          <w:sz w:val="22"/>
          <w:szCs w:val="22"/>
        </w:rPr>
      </w:pPr>
      <w:r w:rsidRPr="00711108">
        <w:rPr>
          <w:rFonts w:asciiTheme="minorHAnsi" w:eastAsiaTheme="minorEastAsia" w:hAnsiTheme="minorHAnsi" w:cstheme="minorBidi"/>
          <w:b w:val="0"/>
          <w:bCs w:val="0"/>
          <w:color w:val="auto"/>
          <w:sz w:val="22"/>
          <w:szCs w:val="22"/>
        </w:rPr>
        <w:t xml:space="preserve">This study demonstrates the efficacy of the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 xml:space="preserve"> architecture in detecting earthquake precursors from ULF geomagnetic signals. By leveraging a modern convolutional design, the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 xml:space="preserve">-Tiny model achieved a high magnitude classification accuracy of 97.53% and a substantial azimuth estimation accuracy of 69.30%, as validated through the robust Leave-One-Event-Out (LOEO) protocol. The inclusion of the Matthews Correlation Coefficient (MCC) further confirms the model's reliability, where the azimuth prediction represents a 6.2-fold improvement over random guessing, successfully navigating the challenges of extreme class </w:t>
      </w:r>
      <w:proofErr w:type="spellStart"/>
      <w:r w:rsidRPr="00711108">
        <w:rPr>
          <w:rFonts w:asciiTheme="minorHAnsi" w:eastAsiaTheme="minorEastAsia" w:hAnsiTheme="minorHAnsi" w:cstheme="minorBidi"/>
          <w:b w:val="0"/>
          <w:bCs w:val="0"/>
          <w:color w:val="auto"/>
          <w:sz w:val="22"/>
          <w:szCs w:val="22"/>
        </w:rPr>
        <w:t>imbalance.Our</w:t>
      </w:r>
      <w:proofErr w:type="spellEnd"/>
      <w:r w:rsidRPr="00711108">
        <w:rPr>
          <w:rFonts w:asciiTheme="minorHAnsi" w:eastAsiaTheme="minorEastAsia" w:hAnsiTheme="minorHAnsi" w:cstheme="minorBidi"/>
          <w:b w:val="0"/>
          <w:bCs w:val="0"/>
          <w:color w:val="auto"/>
          <w:sz w:val="22"/>
          <w:szCs w:val="22"/>
        </w:rPr>
        <w:t xml:space="preserve"> findings suggest that while magnitude detection benefits from the large receptive fields of </w:t>
      </w:r>
      <w:proofErr w:type="spellStart"/>
      <w:r w:rsidRPr="00711108">
        <w:rPr>
          <w:rFonts w:asciiTheme="minorHAnsi" w:eastAsiaTheme="minorEastAsia" w:hAnsiTheme="minorHAnsi" w:cstheme="minorBidi"/>
          <w:b w:val="0"/>
          <w:bCs w:val="0"/>
          <w:color w:val="auto"/>
          <w:sz w:val="22"/>
          <w:szCs w:val="22"/>
        </w:rPr>
        <w:t>ConvNeXt</w:t>
      </w:r>
      <w:proofErr w:type="spellEnd"/>
      <w:r w:rsidRPr="00711108">
        <w:rPr>
          <w:rFonts w:asciiTheme="minorHAnsi" w:eastAsiaTheme="minorEastAsia" w:hAnsiTheme="minorHAnsi" w:cstheme="minorBidi"/>
          <w:b w:val="0"/>
          <w:bCs w:val="0"/>
          <w:color w:val="auto"/>
          <w:sz w:val="22"/>
          <w:szCs w:val="22"/>
        </w:rPr>
        <w:t xml:space="preserve"> to capture broadband energy intensification, azimuth estimation remains physically constrained by the limitations of single-station scalar data. Nevertheless, the integration of modern architectural principles—such as $7 \times 7$ kernels and Layer Normalization—provides a more stable and discriminative framework for geophysical signal analysis compared to traditional CNN baselines. The computational efficiency and predictive power of this framework establish it as a viable candidate for operational deployment within Indonesia’s earthquake early warning infrastructure. Future work will focus on implementing Graph Neural Networks (GNN) to incorporate spatial-vector correlations across multiple stations, aiming to overcome current directional ambiguities and further enhance precursor localization.</w:t>
      </w:r>
    </w:p>
    <w:p w14:paraId="61FE6A26" w14:textId="79FD7665" w:rsidR="005C3E13" w:rsidRDefault="00F414DC" w:rsidP="00711108">
      <w:pPr>
        <w:pStyle w:val="Heading1"/>
      </w:pPr>
      <w:r>
        <w:t>References</w:t>
      </w:r>
    </w:p>
    <w:p w14:paraId="58DA53BF" w14:textId="77777777" w:rsidR="00984F69" w:rsidRDefault="00984F69" w:rsidP="00984F69">
      <w:r>
        <w:t>BMKG. (2024). Indonesian earthquake catalog 2018-2024. Agency for Meteorology, Climatology, and Geophysics of the Republic of Indonesia.</w:t>
      </w:r>
    </w:p>
    <w:p w14:paraId="4ACBA984" w14:textId="77777777" w:rsidR="00984F69" w:rsidRDefault="00984F69" w:rsidP="00984F69">
      <w:proofErr w:type="spellStart"/>
      <w:r>
        <w:t>Gladychev</w:t>
      </w:r>
      <w:proofErr w:type="spellEnd"/>
      <w:r>
        <w:t xml:space="preserve">, V., </w:t>
      </w:r>
      <w:proofErr w:type="spellStart"/>
      <w:r>
        <w:t>Baransky</w:t>
      </w:r>
      <w:proofErr w:type="spellEnd"/>
      <w:r>
        <w:t xml:space="preserve">, L., </w:t>
      </w:r>
      <w:proofErr w:type="spellStart"/>
      <w:r>
        <w:t>Schekotov</w:t>
      </w:r>
      <w:proofErr w:type="spellEnd"/>
      <w:r>
        <w:t xml:space="preserve">, A., Fedorov, E., </w:t>
      </w:r>
      <w:proofErr w:type="spellStart"/>
      <w:r>
        <w:t>Pokhotelov</w:t>
      </w:r>
      <w:proofErr w:type="spellEnd"/>
      <w:r>
        <w:t xml:space="preserve">, O., </w:t>
      </w:r>
      <w:proofErr w:type="spellStart"/>
      <w:r>
        <w:t>Andreevsky</w:t>
      </w:r>
      <w:proofErr w:type="spellEnd"/>
      <w:r>
        <w:t xml:space="preserve">, S., ... &amp; </w:t>
      </w:r>
      <w:proofErr w:type="spellStart"/>
      <w:r>
        <w:t>Rozhnoi</w:t>
      </w:r>
      <w:proofErr w:type="spellEnd"/>
      <w:r>
        <w:t>, A. (2001). Study of electromagnetic emissions associated with seismic activity in Kamchatka region. Natural Hazards and Earth System Sciences, 1(3), 127-136. https://doi.org/10.5194/nhess-1-127-2001</w:t>
      </w:r>
    </w:p>
    <w:p w14:paraId="023312B6" w14:textId="77777777" w:rsidR="00984F69" w:rsidRDefault="00984F69" w:rsidP="00984F69">
      <w:r>
        <w:t>Hattori, K. (2004). ULF geomagnetic changes associated with large earthquakes. Terrestrial, Atmospheric and Oceanic Sciences, 15(3), 329-360. https://doi.org/10.3319/TAO.2004.15.3.329(GME</w:t>
      </w:r>
    </w:p>
    <w:p w14:paraId="7C6176DA" w14:textId="77777777" w:rsidR="00984F69" w:rsidRDefault="00984F69" w:rsidP="00984F69">
      <w:r>
        <w:t xml:space="preserve">Hayakawa, M., </w:t>
      </w:r>
      <w:proofErr w:type="spellStart"/>
      <w:r>
        <w:t>Schekotov</w:t>
      </w:r>
      <w:proofErr w:type="spellEnd"/>
      <w:r>
        <w:t xml:space="preserve">, A., </w:t>
      </w:r>
      <w:proofErr w:type="spellStart"/>
      <w:r>
        <w:t>Potirakis</w:t>
      </w:r>
      <w:proofErr w:type="spellEnd"/>
      <w:r>
        <w:t xml:space="preserve">, S., &amp; </w:t>
      </w:r>
      <w:proofErr w:type="spellStart"/>
      <w:r>
        <w:t>Eftaxias</w:t>
      </w:r>
      <w:proofErr w:type="spellEnd"/>
      <w:r>
        <w:t>, K. (2015). Criticality features in ULF magnetic fields prior to the 2011 Tohoku earthquake. Journal of Asian Earth Sciences, 114, 313-318. https://doi.org/10.1016/j.jseaes.2015.01.019</w:t>
      </w:r>
    </w:p>
    <w:p w14:paraId="421985E1" w14:textId="77777777" w:rsidR="00984F69" w:rsidRDefault="00984F69" w:rsidP="00984F69">
      <w:r>
        <w:lastRenderedPageBreak/>
        <w:t>Ida, Y., Yang, D., Li, Q., Sun, H., &amp; Hayakawa, M. (2008). Detection of ULF electromagnetic emissions as a precursor to an earthquake in China with an improved polarization analysis. Natural Hazards and Earth System Sciences, 8(4), 775-777. https://doi.org/10.5194/nhess-8-775-2008</w:t>
      </w:r>
    </w:p>
    <w:p w14:paraId="6831DCE1" w14:textId="77777777" w:rsidR="00984F69" w:rsidRDefault="00984F69" w:rsidP="00984F69">
      <w:r>
        <w:t xml:space="preserve">Liu, Z., Mao, H., Wu, C. Y., </w:t>
      </w:r>
      <w:proofErr w:type="spellStart"/>
      <w:r>
        <w:t>Feichtenhofer</w:t>
      </w:r>
      <w:proofErr w:type="spellEnd"/>
      <w:r>
        <w:t xml:space="preserve">, C., Darrell, T., &amp; </w:t>
      </w:r>
      <w:proofErr w:type="spellStart"/>
      <w:r>
        <w:t>Xie</w:t>
      </w:r>
      <w:proofErr w:type="spellEnd"/>
      <w:r>
        <w:t xml:space="preserve">, S. (2022). A </w:t>
      </w:r>
      <w:proofErr w:type="spellStart"/>
      <w:r>
        <w:t>ConvNet</w:t>
      </w:r>
      <w:proofErr w:type="spellEnd"/>
      <w:r>
        <w:t xml:space="preserve"> for the 2020s. Proceedings of the IEEE/CVF Conference on Computer Vision and Pattern Recognition (CVPR), 11976-11986. https://doi.org/10.1109/CVPR52688.2022.01167</w:t>
      </w:r>
    </w:p>
    <w:p w14:paraId="5BF3A344" w14:textId="77777777" w:rsidR="00984F69" w:rsidRDefault="00984F69" w:rsidP="00984F69">
      <w:proofErr w:type="spellStart"/>
      <w:r>
        <w:t>Loshchilov</w:t>
      </w:r>
      <w:proofErr w:type="spellEnd"/>
      <w:r>
        <w:t xml:space="preserve">, I., &amp; </w:t>
      </w:r>
      <w:proofErr w:type="spellStart"/>
      <w:r>
        <w:t>Hutter</w:t>
      </w:r>
      <w:proofErr w:type="spellEnd"/>
      <w:r>
        <w:t>, F. (2019). Decoupled weight decay regularization. International Conference on Learning Representations (ICLR). https://openreview.net/forum?id=Bkg6RiCqY7</w:t>
      </w:r>
    </w:p>
    <w:p w14:paraId="2CCB4763" w14:textId="77777777" w:rsidR="00984F69" w:rsidRDefault="00984F69" w:rsidP="00984F69">
      <w:r>
        <w:t xml:space="preserve">Matthews, B. W. (1975). Comparison of the predicted and observed secondary structure of T4 phage lysozyme. </w:t>
      </w:r>
      <w:proofErr w:type="spellStart"/>
      <w:r>
        <w:t>Biochimica</w:t>
      </w:r>
      <w:proofErr w:type="spellEnd"/>
      <w:r>
        <w:t xml:space="preserve"> et </w:t>
      </w:r>
      <w:proofErr w:type="spellStart"/>
      <w:r>
        <w:t>Biophysica</w:t>
      </w:r>
      <w:proofErr w:type="spellEnd"/>
      <w:r>
        <w:t xml:space="preserve"> Acta (BBA) - Protein Structure, 405(2), 442-451. https://doi.org/10.1016/0005-2795(75)90109-9</w:t>
      </w:r>
    </w:p>
    <w:p w14:paraId="0D7E7915" w14:textId="77777777" w:rsidR="00984F69" w:rsidRDefault="00984F69" w:rsidP="00984F69">
      <w:r>
        <w:t xml:space="preserve">Nagao, T., </w:t>
      </w:r>
      <w:proofErr w:type="spellStart"/>
      <w:r>
        <w:t>Orihara</w:t>
      </w:r>
      <w:proofErr w:type="spellEnd"/>
      <w:r>
        <w:t>, Y., Yamaguchi, T., Takahashi, I., Hattori, K., Noda, Y., ... &amp; Uyeda, S. (2000). Co-seismic geoelectric potential changes observed in Japan. Geophysical Research Letters, 27(10), 1535-1538. https://doi.org/10.1029/1999GL005440</w:t>
      </w:r>
    </w:p>
    <w:p w14:paraId="47F7E57B" w14:textId="77777777" w:rsidR="00984F69" w:rsidRDefault="00984F69" w:rsidP="00984F69">
      <w:proofErr w:type="spellStart"/>
      <w:r>
        <w:t>Simonyan</w:t>
      </w:r>
      <w:proofErr w:type="spellEnd"/>
      <w:r>
        <w:t>, K., &amp; Zisserman, A. (2015). Very deep convolutional networks for large-scale image recognition. International Conference on Learning Representations (ICLR). https://arxiv.org/abs/1409.1556</w:t>
      </w:r>
    </w:p>
    <w:p w14:paraId="2D93C664" w14:textId="0C2B8B22" w:rsidR="005C3E13" w:rsidRDefault="00984F69" w:rsidP="00984F69">
      <w:r>
        <w:t xml:space="preserve">Tan, M., &amp; Le, Q. (2019). </w:t>
      </w:r>
      <w:proofErr w:type="spellStart"/>
      <w:r>
        <w:t>EfficientNet</w:t>
      </w:r>
      <w:proofErr w:type="spellEnd"/>
      <w:r>
        <w:t>: Rethinking model scaling for convolutional neural networks. International Conference on Machine Learning (ICML), 6105-6114. https://arxiv.org/abs/1905.11946</w:t>
      </w:r>
      <w:r w:rsidR="00F414DC">
        <w:br w:type="page"/>
      </w:r>
    </w:p>
    <w:p w14:paraId="192EB8A2" w14:textId="77777777" w:rsidR="005C3E13" w:rsidRDefault="00F414DC">
      <w:pPr>
        <w:pStyle w:val="Heading1"/>
      </w:pPr>
      <w:r>
        <w:lastRenderedPageBreak/>
        <w:t>Figures</w:t>
      </w:r>
    </w:p>
    <w:p w14:paraId="306DCB36" w14:textId="77777777" w:rsidR="005C3E13" w:rsidRDefault="00F414DC">
      <w:r>
        <w:rPr>
          <w:noProof/>
        </w:rPr>
        <w:drawing>
          <wp:inline distT="0" distB="0" distL="0" distR="0" wp14:anchorId="6E67EAB4" wp14:editId="23A3FD78">
            <wp:extent cx="5486400" cy="3269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eo_per_fold_accuracy.png"/>
                    <pic:cNvPicPr/>
                  </pic:nvPicPr>
                  <pic:blipFill>
                    <a:blip r:embed="rId6"/>
                    <a:stretch>
                      <a:fillRect/>
                    </a:stretch>
                  </pic:blipFill>
                  <pic:spPr>
                    <a:xfrm>
                      <a:off x="0" y="0"/>
                      <a:ext cx="5486400" cy="3269673"/>
                    </a:xfrm>
                    <a:prstGeom prst="rect">
                      <a:avLst/>
                    </a:prstGeom>
                  </pic:spPr>
                </pic:pic>
              </a:graphicData>
            </a:graphic>
          </wp:inline>
        </w:drawing>
      </w:r>
    </w:p>
    <w:p w14:paraId="7F199E78" w14:textId="77777777" w:rsidR="005C3E13" w:rsidRDefault="00F414DC">
      <w:pPr>
        <w:jc w:val="center"/>
      </w:pPr>
      <w:r>
        <w:t>Figure 1: LOEO Per-Fold Accuracy for Magnitude and Azimuth Classification</w:t>
      </w:r>
    </w:p>
    <w:p w14:paraId="14E16938" w14:textId="77777777" w:rsidR="005C3E13" w:rsidRDefault="005C3E13"/>
    <w:p w14:paraId="268E3421" w14:textId="77777777" w:rsidR="005C3E13" w:rsidRDefault="00F414DC">
      <w:r>
        <w:rPr>
          <w:noProof/>
        </w:rPr>
        <w:drawing>
          <wp:inline distT="0" distB="0" distL="0" distR="0" wp14:anchorId="653FA4A8" wp14:editId="559CA67C">
            <wp:extent cx="5486400" cy="2258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png"/>
                    <pic:cNvPicPr/>
                  </pic:nvPicPr>
                  <pic:blipFill>
                    <a:blip r:embed="rId7"/>
                    <a:stretch>
                      <a:fillRect/>
                    </a:stretch>
                  </pic:blipFill>
                  <pic:spPr>
                    <a:xfrm>
                      <a:off x="0" y="0"/>
                      <a:ext cx="5486400" cy="2258202"/>
                    </a:xfrm>
                    <a:prstGeom prst="rect">
                      <a:avLst/>
                    </a:prstGeom>
                  </pic:spPr>
                </pic:pic>
              </a:graphicData>
            </a:graphic>
          </wp:inline>
        </w:drawing>
      </w:r>
    </w:p>
    <w:p w14:paraId="3872A4F7" w14:textId="77777777" w:rsidR="005C3E13" w:rsidRDefault="00F414DC">
      <w:pPr>
        <w:jc w:val="center"/>
      </w:pPr>
      <w:r>
        <w:t>Figure 2: Model Comparison (VG</w:t>
      </w:r>
      <w:r>
        <w:t>G16, EfficientNet-B0, ConvNeXt-Tiny)</w:t>
      </w:r>
    </w:p>
    <w:p w14:paraId="212F5C71" w14:textId="77777777" w:rsidR="005C3E13" w:rsidRDefault="005C3E13"/>
    <w:p w14:paraId="30FA242F" w14:textId="77777777" w:rsidR="005C3E13" w:rsidRDefault="00F414DC">
      <w:r>
        <w:rPr>
          <w:noProof/>
        </w:rPr>
        <w:lastRenderedPageBreak/>
        <w:drawing>
          <wp:inline distT="0" distB="0" distL="0" distR="0" wp14:anchorId="75ABBAA3" wp14:editId="5823E604">
            <wp:extent cx="5486400" cy="31343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itecture_diagram.png"/>
                    <pic:cNvPicPr/>
                  </pic:nvPicPr>
                  <pic:blipFill>
                    <a:blip r:embed="rId8"/>
                    <a:stretch>
                      <a:fillRect/>
                    </a:stretch>
                  </pic:blipFill>
                  <pic:spPr>
                    <a:xfrm>
                      <a:off x="0" y="0"/>
                      <a:ext cx="5486400" cy="3134381"/>
                    </a:xfrm>
                    <a:prstGeom prst="rect">
                      <a:avLst/>
                    </a:prstGeom>
                  </pic:spPr>
                </pic:pic>
              </a:graphicData>
            </a:graphic>
          </wp:inline>
        </w:drawing>
      </w:r>
    </w:p>
    <w:p w14:paraId="074ADD58" w14:textId="77777777" w:rsidR="005C3E13" w:rsidRDefault="00F414DC">
      <w:pPr>
        <w:jc w:val="center"/>
      </w:pPr>
      <w:r>
        <w:t>Figure 3: ConvNeXt-Tiny Architecture Diagram</w:t>
      </w:r>
    </w:p>
    <w:p w14:paraId="5E1A2A45" w14:textId="77777777" w:rsidR="005C3E13" w:rsidRDefault="005C3E13"/>
    <w:p w14:paraId="2CD486D6" w14:textId="77777777" w:rsidR="005C3E13" w:rsidRDefault="00F414DC">
      <w:r>
        <w:rPr>
          <w:noProof/>
        </w:rPr>
        <w:drawing>
          <wp:inline distT="0" distB="0" distL="0" distR="0" wp14:anchorId="743C0962" wp14:editId="3E40DDF4">
            <wp:extent cx="5486400" cy="40974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eo_boxplot.png"/>
                    <pic:cNvPicPr/>
                  </pic:nvPicPr>
                  <pic:blipFill>
                    <a:blip r:embed="rId9"/>
                    <a:stretch>
                      <a:fillRect/>
                    </a:stretch>
                  </pic:blipFill>
                  <pic:spPr>
                    <a:xfrm>
                      <a:off x="0" y="0"/>
                      <a:ext cx="5486400" cy="4097438"/>
                    </a:xfrm>
                    <a:prstGeom prst="rect">
                      <a:avLst/>
                    </a:prstGeom>
                  </pic:spPr>
                </pic:pic>
              </a:graphicData>
            </a:graphic>
          </wp:inline>
        </w:drawing>
      </w:r>
    </w:p>
    <w:p w14:paraId="70459D8D" w14:textId="77777777" w:rsidR="005C3E13" w:rsidRDefault="00F414DC">
      <w:pPr>
        <w:jc w:val="center"/>
      </w:pPr>
      <w:r>
        <w:lastRenderedPageBreak/>
        <w:t>Figure 4: LOEO Results Distribution (Box Plot)</w:t>
      </w:r>
    </w:p>
    <w:p w14:paraId="39BA13F2" w14:textId="77777777" w:rsidR="005C3E13" w:rsidRDefault="005C3E13"/>
    <w:p w14:paraId="329C1025" w14:textId="77777777" w:rsidR="005C3E13" w:rsidRDefault="00F414DC">
      <w:r>
        <w:rPr>
          <w:noProof/>
        </w:rPr>
        <w:drawing>
          <wp:inline distT="0" distB="0" distL="0" distR="0" wp14:anchorId="598F9C1A" wp14:editId="75646FB4">
            <wp:extent cx="5486400" cy="22597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vnext_vs_efficientnet.png"/>
                    <pic:cNvPicPr/>
                  </pic:nvPicPr>
                  <pic:blipFill>
                    <a:blip r:embed="rId10"/>
                    <a:stretch>
                      <a:fillRect/>
                    </a:stretch>
                  </pic:blipFill>
                  <pic:spPr>
                    <a:xfrm>
                      <a:off x="0" y="0"/>
                      <a:ext cx="5486400" cy="2259739"/>
                    </a:xfrm>
                    <a:prstGeom prst="rect">
                      <a:avLst/>
                    </a:prstGeom>
                  </pic:spPr>
                </pic:pic>
              </a:graphicData>
            </a:graphic>
          </wp:inline>
        </w:drawing>
      </w:r>
    </w:p>
    <w:p w14:paraId="28241E21" w14:textId="77777777" w:rsidR="005C3E13" w:rsidRDefault="00F414DC">
      <w:pPr>
        <w:jc w:val="center"/>
      </w:pPr>
      <w:r>
        <w:t>Figure 5: ConvNeXt vs EfficientNet Performance Comparison</w:t>
      </w:r>
    </w:p>
    <w:p w14:paraId="0CA4A4CB" w14:textId="77777777" w:rsidR="005C3E13" w:rsidRDefault="005C3E13"/>
    <w:p w14:paraId="2352BA31" w14:textId="77777777" w:rsidR="005C3E13" w:rsidRDefault="00F414DC">
      <w:r>
        <w:rPr>
          <w:noProof/>
        </w:rPr>
        <w:lastRenderedPageBreak/>
        <w:drawing>
          <wp:inline distT="0" distB="0" distL="0" distR="0" wp14:anchorId="291E3990" wp14:editId="079315D1">
            <wp:extent cx="5486400" cy="4620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old_heatmap.png"/>
                    <pic:cNvPicPr/>
                  </pic:nvPicPr>
                  <pic:blipFill>
                    <a:blip r:embed="rId11"/>
                    <a:stretch>
                      <a:fillRect/>
                    </a:stretch>
                  </pic:blipFill>
                  <pic:spPr>
                    <a:xfrm>
                      <a:off x="0" y="0"/>
                      <a:ext cx="5486400" cy="4620742"/>
                    </a:xfrm>
                    <a:prstGeom prst="rect">
                      <a:avLst/>
                    </a:prstGeom>
                  </pic:spPr>
                </pic:pic>
              </a:graphicData>
            </a:graphic>
          </wp:inline>
        </w:drawing>
      </w:r>
    </w:p>
    <w:p w14:paraId="37BDB75A" w14:textId="77777777" w:rsidR="005C3E13" w:rsidRDefault="00F414DC">
      <w:pPr>
        <w:jc w:val="center"/>
      </w:pPr>
      <w:r>
        <w:t>Figure 6: Per-Fold Performance Heatmap</w:t>
      </w:r>
    </w:p>
    <w:p w14:paraId="042FD177" w14:textId="77777777" w:rsidR="005C3E13" w:rsidRDefault="005C3E13"/>
    <w:p w14:paraId="39836692" w14:textId="77777777" w:rsidR="005C3E13" w:rsidRDefault="00F414DC">
      <w:r>
        <w:rPr>
          <w:noProof/>
        </w:rPr>
        <w:drawing>
          <wp:inline distT="0" distB="0" distL="0" distR="0" wp14:anchorId="30B8B7DC" wp14:editId="397250F5">
            <wp:extent cx="5486400" cy="2435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cc_analysis.png"/>
                    <pic:cNvPicPr/>
                  </pic:nvPicPr>
                  <pic:blipFill>
                    <a:blip r:embed="rId12"/>
                    <a:stretch>
                      <a:fillRect/>
                    </a:stretch>
                  </pic:blipFill>
                  <pic:spPr>
                    <a:xfrm>
                      <a:off x="0" y="0"/>
                      <a:ext cx="5486400" cy="2435330"/>
                    </a:xfrm>
                    <a:prstGeom prst="rect">
                      <a:avLst/>
                    </a:prstGeom>
                  </pic:spPr>
                </pic:pic>
              </a:graphicData>
            </a:graphic>
          </wp:inline>
        </w:drawing>
      </w:r>
    </w:p>
    <w:p w14:paraId="0102CC8E" w14:textId="77777777" w:rsidR="005C3E13" w:rsidRDefault="00F414DC">
      <w:pPr>
        <w:jc w:val="center"/>
      </w:pPr>
      <w:r>
        <w:t xml:space="preserve">Figure 7: </w:t>
      </w:r>
      <w:r>
        <w:t>MCC Analysis - Accuracy vs Random Baseline</w:t>
      </w:r>
    </w:p>
    <w:p w14:paraId="636E0B12" w14:textId="77777777" w:rsidR="005C3E13" w:rsidRDefault="005C3E13"/>
    <w:p w14:paraId="0FABA72E" w14:textId="77777777" w:rsidR="005C3E13" w:rsidRDefault="00F414DC">
      <w:r>
        <w:rPr>
          <w:noProof/>
        </w:rPr>
        <w:drawing>
          <wp:inline distT="0" distB="0" distL="0" distR="0" wp14:anchorId="71989F44" wp14:editId="0722F2DC">
            <wp:extent cx="5486400" cy="3823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cc_improvement.png"/>
                    <pic:cNvPicPr/>
                  </pic:nvPicPr>
                  <pic:blipFill>
                    <a:blip r:embed="rId13"/>
                    <a:stretch>
                      <a:fillRect/>
                    </a:stretch>
                  </pic:blipFill>
                  <pic:spPr>
                    <a:xfrm>
                      <a:off x="0" y="0"/>
                      <a:ext cx="5486400" cy="3823855"/>
                    </a:xfrm>
                    <a:prstGeom prst="rect">
                      <a:avLst/>
                    </a:prstGeom>
                  </pic:spPr>
                </pic:pic>
              </a:graphicData>
            </a:graphic>
          </wp:inline>
        </w:drawing>
      </w:r>
    </w:p>
    <w:p w14:paraId="47395565" w14:textId="77777777" w:rsidR="005C3E13" w:rsidRDefault="00F414DC">
      <w:pPr>
        <w:jc w:val="center"/>
      </w:pPr>
      <w:r>
        <w:t>Figure 8: MCC Improvement Over Random Guessing</w:t>
      </w:r>
    </w:p>
    <w:p w14:paraId="7D8DDAAE" w14:textId="77777777" w:rsidR="005C3E13" w:rsidRDefault="005C3E13"/>
    <w:p w14:paraId="460B40FE" w14:textId="77777777" w:rsidR="005C3E13" w:rsidRDefault="00F414DC">
      <w:r>
        <w:rPr>
          <w:noProof/>
        </w:rPr>
        <w:lastRenderedPageBreak/>
        <w:drawing>
          <wp:inline distT="0" distB="0" distL="0" distR="0" wp14:anchorId="62CB9ED6" wp14:editId="38996B6F">
            <wp:extent cx="5486400" cy="4339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mplete_summary.png"/>
                    <pic:cNvPicPr/>
                  </pic:nvPicPr>
                  <pic:blipFill>
                    <a:blip r:embed="rId14"/>
                    <a:stretch>
                      <a:fillRect/>
                    </a:stretch>
                  </pic:blipFill>
                  <pic:spPr>
                    <a:xfrm>
                      <a:off x="0" y="0"/>
                      <a:ext cx="5486400" cy="4339428"/>
                    </a:xfrm>
                    <a:prstGeom prst="rect">
                      <a:avLst/>
                    </a:prstGeom>
                  </pic:spPr>
                </pic:pic>
              </a:graphicData>
            </a:graphic>
          </wp:inline>
        </w:drawing>
      </w:r>
    </w:p>
    <w:p w14:paraId="38C92CD0" w14:textId="77777777" w:rsidR="005C3E13" w:rsidRDefault="00F414DC">
      <w:pPr>
        <w:jc w:val="center"/>
      </w:pPr>
      <w:r>
        <w:t>Figure 9: Complete Results Summary with MCC</w:t>
      </w:r>
    </w:p>
    <w:p w14:paraId="18C8E78E" w14:textId="77777777" w:rsidR="005C3E13" w:rsidRDefault="005C3E13"/>
    <w:sectPr w:rsidR="005C3E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FEF"/>
    <w:rsid w:val="0029639D"/>
    <w:rsid w:val="00326F90"/>
    <w:rsid w:val="004356E2"/>
    <w:rsid w:val="0053783F"/>
    <w:rsid w:val="005C3E13"/>
    <w:rsid w:val="006457A6"/>
    <w:rsid w:val="00711108"/>
    <w:rsid w:val="0076271C"/>
    <w:rsid w:val="0095499C"/>
    <w:rsid w:val="00984F69"/>
    <w:rsid w:val="009F07EC"/>
    <w:rsid w:val="00AA1D8D"/>
    <w:rsid w:val="00AD182E"/>
    <w:rsid w:val="00B23EFF"/>
    <w:rsid w:val="00B259CA"/>
    <w:rsid w:val="00B47730"/>
    <w:rsid w:val="00B97FA1"/>
    <w:rsid w:val="00BD0A90"/>
    <w:rsid w:val="00CB0664"/>
    <w:rsid w:val="00E30DD0"/>
    <w:rsid w:val="00EA2F14"/>
    <w:rsid w:val="00F414DC"/>
    <w:rsid w:val="00F421FD"/>
    <w:rsid w:val="00F67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05024"/>
  <w14:defaultImageDpi w14:val="300"/>
  <w15:docId w15:val="{DC6E7008-BEE1-4975-9D3D-317CBC846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549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95499C"/>
  </w:style>
  <w:style w:type="character" w:customStyle="1" w:styleId="citation-334">
    <w:name w:val="citation-334"/>
    <w:basedOn w:val="DefaultParagraphFont"/>
    <w:rsid w:val="0095499C"/>
  </w:style>
  <w:style w:type="character" w:customStyle="1" w:styleId="citation-333">
    <w:name w:val="citation-333"/>
    <w:basedOn w:val="DefaultParagraphFont"/>
    <w:rsid w:val="0095499C"/>
  </w:style>
  <w:style w:type="character" w:customStyle="1" w:styleId="citation-332">
    <w:name w:val="citation-332"/>
    <w:basedOn w:val="DefaultParagraphFont"/>
    <w:rsid w:val="0095499C"/>
  </w:style>
  <w:style w:type="character" w:customStyle="1" w:styleId="citation-331">
    <w:name w:val="citation-331"/>
    <w:basedOn w:val="DefaultParagraphFont"/>
    <w:rsid w:val="0095499C"/>
  </w:style>
  <w:style w:type="character" w:customStyle="1" w:styleId="citation-330">
    <w:name w:val="citation-330"/>
    <w:basedOn w:val="DefaultParagraphFont"/>
    <w:rsid w:val="0095499C"/>
  </w:style>
  <w:style w:type="character" w:customStyle="1" w:styleId="citation-329">
    <w:name w:val="citation-329"/>
    <w:basedOn w:val="DefaultParagraphFont"/>
    <w:rsid w:val="0095499C"/>
  </w:style>
  <w:style w:type="character" w:customStyle="1" w:styleId="citation-328">
    <w:name w:val="citation-328"/>
    <w:basedOn w:val="DefaultParagraphFont"/>
    <w:rsid w:val="0095499C"/>
  </w:style>
  <w:style w:type="character" w:customStyle="1" w:styleId="citation-368">
    <w:name w:val="citation-368"/>
    <w:basedOn w:val="DefaultParagraphFont"/>
    <w:rsid w:val="00BD0A90"/>
  </w:style>
  <w:style w:type="character" w:customStyle="1" w:styleId="citation-367">
    <w:name w:val="citation-367"/>
    <w:basedOn w:val="DefaultParagraphFont"/>
    <w:rsid w:val="00BD0A90"/>
  </w:style>
  <w:style w:type="character" w:customStyle="1" w:styleId="citation-366">
    <w:name w:val="citation-366"/>
    <w:basedOn w:val="DefaultParagraphFont"/>
    <w:rsid w:val="00BD0A90"/>
  </w:style>
  <w:style w:type="character" w:customStyle="1" w:styleId="citation-365">
    <w:name w:val="citation-365"/>
    <w:basedOn w:val="DefaultParagraphFont"/>
    <w:rsid w:val="00BD0A90"/>
  </w:style>
  <w:style w:type="character" w:customStyle="1" w:styleId="citation-364">
    <w:name w:val="citation-364"/>
    <w:basedOn w:val="DefaultParagraphFont"/>
    <w:rsid w:val="00BD0A90"/>
  </w:style>
  <w:style w:type="character" w:customStyle="1" w:styleId="citation-363">
    <w:name w:val="citation-363"/>
    <w:basedOn w:val="DefaultParagraphFont"/>
    <w:rsid w:val="00BD0A90"/>
  </w:style>
  <w:style w:type="character" w:customStyle="1" w:styleId="citation-362">
    <w:name w:val="citation-362"/>
    <w:basedOn w:val="DefaultParagraphFont"/>
    <w:rsid w:val="00BD0A90"/>
  </w:style>
  <w:style w:type="character" w:customStyle="1" w:styleId="citation-361">
    <w:name w:val="citation-361"/>
    <w:basedOn w:val="DefaultParagraphFont"/>
    <w:rsid w:val="00BD0A90"/>
  </w:style>
  <w:style w:type="character" w:customStyle="1" w:styleId="citation-398">
    <w:name w:val="citation-398"/>
    <w:basedOn w:val="DefaultParagraphFont"/>
    <w:rsid w:val="00BD0A90"/>
  </w:style>
  <w:style w:type="character" w:customStyle="1" w:styleId="citation-397">
    <w:name w:val="citation-397"/>
    <w:basedOn w:val="DefaultParagraphFont"/>
    <w:rsid w:val="00BD0A90"/>
  </w:style>
  <w:style w:type="character" w:customStyle="1" w:styleId="citation-396">
    <w:name w:val="citation-396"/>
    <w:basedOn w:val="DefaultParagraphFont"/>
    <w:rsid w:val="00BD0A90"/>
  </w:style>
  <w:style w:type="character" w:customStyle="1" w:styleId="citation-395">
    <w:name w:val="citation-395"/>
    <w:basedOn w:val="DefaultParagraphFont"/>
    <w:rsid w:val="00BD0A90"/>
  </w:style>
  <w:style w:type="character" w:customStyle="1" w:styleId="citation-394">
    <w:name w:val="citation-394"/>
    <w:basedOn w:val="DefaultParagraphFont"/>
    <w:rsid w:val="00BD0A90"/>
  </w:style>
  <w:style w:type="character" w:customStyle="1" w:styleId="citation-393">
    <w:name w:val="citation-393"/>
    <w:basedOn w:val="DefaultParagraphFont"/>
    <w:rsid w:val="00BD0A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4366</Words>
  <Characters>24891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sumawan bmkg</cp:lastModifiedBy>
  <cp:revision>20</cp:revision>
  <dcterms:created xsi:type="dcterms:W3CDTF">2013-12-23T23:15:00Z</dcterms:created>
  <dcterms:modified xsi:type="dcterms:W3CDTF">2026-02-06T02:55:00Z</dcterms:modified>
  <cp:category/>
</cp:coreProperties>
</file>