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Research Highlights</w:t>
      </w:r>
    </w:p>
    <w:p>
      <w:pPr>
        <w:pStyle w:val="Subtitle"/>
      </w:pPr>
      <w:r>
        <w:t>Hierarchical EfficientNet for Earthquake Precursor Detection</w:t>
      </w:r>
    </w:p>
    <w:p/>
    <w:p>
      <w:pPr>
        <w:pStyle w:val="ListNumber"/>
      </w:pPr>
      <w:r>
        <w:t>Unprecedented Large Event Recall: The hierarchical model achieves a 98.65% recall rate for large-magnitude earthquakes (M6.0+), significantly outperforming standard CNN architectures.</w:t>
      </w:r>
    </w:p>
    <w:p>
      <w:pPr>
        <w:pStyle w:val="ListNumber"/>
      </w:pPr>
      <w:r>
        <w:t>Zero False Positives in High-Magnitude Detection: Achieved 100.0% precision for Large events, critical for preventing "cry wolf" scenarios in early warning systems.</w:t>
      </w:r>
    </w:p>
    <w:p>
      <w:pPr>
        <w:pStyle w:val="ListNumber"/>
      </w:pPr>
      <w:r>
        <w:t>Optimized Hierarchical Architecture: Implemented a two-stage decision process using EfficientNet-B0 backbone, separating binary classification (precursor vs. noise) from magnitude estimation.</w:t>
      </w:r>
    </w:p>
    <w:p>
      <w:pPr>
        <w:pStyle w:val="ListNumber"/>
      </w:pPr>
      <w:r>
        <w:t>Spectral Homogenization for Solar Bias: Successfully mitigated "Solar Cycle Flux Bias" through a curated 2,340-sample dataset, integrating modern (2024-2025) and historical (2018) Z/H spectral ratios.</w:t>
      </w:r>
    </w:p>
    <w:p>
      <w:pPr>
        <w:pStyle w:val="ListNumber"/>
      </w:pPr>
      <w:r>
        <w:t>Real-time Deployment Readiness: The model demonstrates inference times under 100ms per station-hour, enabling seamless integration into automated seismic monitoring pipelines.</w:t>
      </w:r>
    </w:p>
    <w:p>
      <w:pPr>
        <w:pStyle w:val="ListNumber"/>
      </w:pPr>
      <w:r>
        <w:t>Robust Negative Validation: Maintained a 88.3% True Negative Rate (Recall Normal), ensuring high reliability during seismically quiet periods.</w:t>
      </w:r>
    </w:p>
    <w:p/>
    <w:p>
      <w:pPr>
        <w:pStyle w:val="Heading2"/>
      </w:pPr>
      <w:r>
        <w:t>Key Performance Metrics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Recall Large (M6.0+)</w:t>
            </w:r>
          </w:p>
        </w:tc>
        <w:tc>
          <w:tcPr>
            <w:tcW w:type="dxa" w:w="4320"/>
          </w:tcPr>
          <w:p>
            <w:r>
              <w:t>98.65%</w:t>
            </w:r>
          </w:p>
        </w:tc>
      </w:tr>
      <w:tr>
        <w:tc>
          <w:tcPr>
            <w:tcW w:type="dxa" w:w="4320"/>
          </w:tcPr>
          <w:p>
            <w:r>
              <w:t>Precision Large</w:t>
            </w:r>
          </w:p>
        </w:tc>
        <w:tc>
          <w:tcPr>
            <w:tcW w:type="dxa" w:w="4320"/>
          </w:tcPr>
          <w:p>
            <w:r>
              <w:t>100.0%</w:t>
            </w:r>
          </w:p>
        </w:tc>
      </w:tr>
      <w:tr>
        <w:tc>
          <w:tcPr>
            <w:tcW w:type="dxa" w:w="4320"/>
          </w:tcPr>
          <w:p>
            <w:r>
              <w:t>F1-Score Binary</w:t>
            </w:r>
          </w:p>
        </w:tc>
        <w:tc>
          <w:tcPr>
            <w:tcW w:type="dxa" w:w="4320"/>
          </w:tcPr>
          <w:p>
            <w:r>
              <w:t>86.69%</w:t>
            </w:r>
          </w:p>
        </w:tc>
      </w:tr>
      <w:tr>
        <w:tc>
          <w:tcPr>
            <w:tcW w:type="dxa" w:w="4320"/>
          </w:tcPr>
          <w:p>
            <w:r>
              <w:t>Recall Normal</w:t>
            </w:r>
          </w:p>
        </w:tc>
        <w:tc>
          <w:tcPr>
            <w:tcW w:type="dxa" w:w="4320"/>
          </w:tcPr>
          <w:p>
            <w:r>
              <w:t>88.3%</w:t>
            </w:r>
          </w:p>
        </w:tc>
      </w:tr>
      <w:tr>
        <w:tc>
          <w:tcPr>
            <w:tcW w:type="dxa" w:w="4320"/>
          </w:tcPr>
          <w:p>
            <w:r>
              <w:t>Inference Time</w:t>
            </w:r>
          </w:p>
        </w:tc>
        <w:tc>
          <w:tcPr>
            <w:tcW w:type="dxa" w:w="4320"/>
          </w:tcPr>
          <w:p>
            <w:r>
              <w:t>&lt;100 ms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