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Tables for Publication</w:t>
      </w:r>
    </w:p>
    <w:p>
      <w:pPr>
        <w:pStyle w:val="Heading2"/>
      </w:pPr>
      <w:r>
        <w:t>Table 1: Dataset Composition and Distribution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Class</w:t>
            </w:r>
          </w:p>
        </w:tc>
        <w:tc>
          <w:tcPr>
            <w:tcW w:type="dxa" w:w="1440"/>
          </w:tcPr>
          <w:p>
            <w:r>
              <w:t>Samples</w:t>
            </w:r>
          </w:p>
        </w:tc>
        <w:tc>
          <w:tcPr>
            <w:tcW w:type="dxa" w:w="1440"/>
          </w:tcPr>
          <w:p>
            <w:r>
              <w:t>Percentage</w:t>
            </w:r>
          </w:p>
        </w:tc>
        <w:tc>
          <w:tcPr>
            <w:tcW w:type="dxa" w:w="1440"/>
          </w:tcPr>
          <w:p>
            <w:r>
              <w:t>Magnitude Range</w:t>
            </w:r>
          </w:p>
        </w:tc>
        <w:tc>
          <w:tcPr>
            <w:tcW w:type="dxa" w:w="1440"/>
          </w:tcPr>
          <w:p>
            <w:r>
              <w:t>Data Source</w:t>
            </w:r>
          </w:p>
        </w:tc>
        <w:tc>
          <w:tcPr>
            <w:tcW w:type="dxa" w:w="1440"/>
          </w:tcPr>
          <w:p>
            <w:r>
              <w:t>Quality</w:t>
            </w:r>
          </w:p>
        </w:tc>
      </w:tr>
      <w:tr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447</w:t>
            </w:r>
          </w:p>
        </w:tc>
        <w:tc>
          <w:tcPr>
            <w:tcW w:type="dxa" w:w="1440"/>
          </w:tcPr>
          <w:p>
            <w:r>
              <w:t>19.1%</w:t>
            </w:r>
          </w:p>
        </w:tc>
        <w:tc>
          <w:tcPr>
            <w:tcW w:type="dxa" w:w="1440"/>
          </w:tcPr>
          <w:p>
            <w:r>
              <w:t>M ≥ 6.0</w:t>
            </w:r>
          </w:p>
        </w:tc>
        <w:tc>
          <w:tcPr>
            <w:tcW w:type="dxa" w:w="1440"/>
          </w:tcPr>
          <w:p>
            <w:r>
              <w:t>Historical + SSH 2025</w:t>
            </w:r>
          </w:p>
        </w:tc>
        <w:tc>
          <w:tcPr>
            <w:tcW w:type="dxa" w:w="1440"/>
          </w:tcPr>
          <w:p>
            <w:r>
              <w:t>⭐⭐⭐ High</w:t>
            </w:r>
          </w:p>
        </w:tc>
      </w:tr>
      <w:tr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341</w:t>
            </w:r>
          </w:p>
        </w:tc>
        <w:tc>
          <w:tcPr>
            <w:tcW w:type="dxa" w:w="1440"/>
          </w:tcPr>
          <w:p>
            <w:r>
              <w:t>14.6%</w:t>
            </w:r>
          </w:p>
        </w:tc>
        <w:tc>
          <w:tcPr>
            <w:tcW w:type="dxa" w:w="1440"/>
          </w:tcPr>
          <w:p>
            <w:r>
              <w:t>5.0 ≤ M &lt; 6.0</w:t>
            </w:r>
          </w:p>
        </w:tc>
        <w:tc>
          <w:tcPr>
            <w:tcW w:type="dxa" w:w="1440"/>
          </w:tcPr>
          <w:p>
            <w:r>
              <w:t>Legacy + New Scan</w:t>
            </w:r>
          </w:p>
        </w:tc>
        <w:tc>
          <w:tcPr>
            <w:tcW w:type="dxa" w:w="1440"/>
          </w:tcPr>
          <w:p>
            <w:r>
              <w:t>⭐⭐ Hybrid</w:t>
            </w:r>
          </w:p>
        </w:tc>
      </w:tr>
      <w:tr>
        <w:tc>
          <w:tcPr>
            <w:tcW w:type="dxa" w:w="1440"/>
          </w:tcPr>
          <w:p>
            <w:r>
              <w:t>Moderate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21.4%</w:t>
            </w:r>
          </w:p>
        </w:tc>
        <w:tc>
          <w:tcPr>
            <w:tcW w:type="dxa" w:w="1440"/>
          </w:tcPr>
          <w:p>
            <w:r>
              <w:t>4.5 ≤ M &lt; 5.0</w:t>
            </w:r>
          </w:p>
        </w:tc>
        <w:tc>
          <w:tcPr>
            <w:tcW w:type="dxa" w:w="1440"/>
          </w:tcPr>
          <w:p>
            <w:r>
              <w:t>Extensive SSH Scan</w:t>
            </w:r>
          </w:p>
        </w:tc>
        <w:tc>
          <w:tcPr>
            <w:tcW w:type="dxa" w:w="1440"/>
          </w:tcPr>
          <w:p>
            <w:r>
              <w:t>⭐⭐⭐ High</w:t>
            </w:r>
          </w:p>
        </w:tc>
      </w:tr>
      <w:tr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1,052</w:t>
            </w:r>
          </w:p>
        </w:tc>
        <w:tc>
          <w:tcPr>
            <w:tcW w:type="dxa" w:w="1440"/>
          </w:tcPr>
          <w:p>
            <w:r>
              <w:t>44.9%</w:t>
            </w:r>
          </w:p>
        </w:tc>
        <w:tc>
          <w:tcPr>
            <w:tcW w:type="dxa" w:w="1440"/>
          </w:tcPr>
          <w:p>
            <w:r>
              <w:t>M &lt; 4.0</w:t>
            </w:r>
          </w:p>
        </w:tc>
        <w:tc>
          <w:tcPr>
            <w:tcW w:type="dxa" w:w="1440"/>
          </w:tcPr>
          <w:p>
            <w:r>
              <w:t>Modern (2024-2025)</w:t>
            </w:r>
          </w:p>
        </w:tc>
        <w:tc>
          <w:tcPr>
            <w:tcW w:type="dxa" w:w="1440"/>
          </w:tcPr>
          <w:p>
            <w:r>
              <w:t>⭐⭐⭐ High</w:t>
            </w:r>
          </w:p>
        </w:tc>
      </w:tr>
      <w:tr>
        <w:tc>
          <w:tcPr>
            <w:tcW w:type="dxa" w:w="1440"/>
          </w:tcPr>
          <w:p>
            <w:r>
              <w:t>TOTAL</w:t>
            </w:r>
          </w:p>
        </w:tc>
        <w:tc>
          <w:tcPr>
            <w:tcW w:type="dxa" w:w="1440"/>
          </w:tcPr>
          <w:p>
            <w:r>
              <w:t>2,340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Homogenized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pPr>
        <w:pStyle w:val="Caption"/>
      </w:pPr>
      <w:r>
        <w:t>Table 1 Caption: Dataset composition showing the distribution of samples across four magnitude classes. The dataset comprises 2,340 homogenized samples collected from 24 BMKG geomagnetic observatories across Indonesia (2018-2025).</w:t>
      </w:r>
    </w:p>
    <w:p>
      <w:r>
        <w:br w:type="page"/>
      </w:r>
    </w:p>
    <w:p>
      <w:pPr>
        <w:pStyle w:val="Heading2"/>
      </w:pPr>
      <w:r>
        <w:t>Table 2: Model Performance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Recall Large (%)</w:t>
            </w:r>
          </w:p>
        </w:tc>
        <w:tc>
          <w:tcPr>
            <w:tcW w:type="dxa" w:w="1440"/>
          </w:tcPr>
          <w:p>
            <w:r>
              <w:t>Precision Large (%)</w:t>
            </w:r>
          </w:p>
        </w:tc>
        <w:tc>
          <w:tcPr>
            <w:tcW w:type="dxa" w:w="1440"/>
          </w:tcPr>
          <w:p>
            <w:r>
              <w:t>F1-Score Binary (%)</w:t>
            </w:r>
          </w:p>
        </w:tc>
        <w:tc>
          <w:tcPr>
            <w:tcW w:type="dxa" w:w="1440"/>
          </w:tcPr>
          <w:p>
            <w:r>
              <w:t>Parameters (M)</w:t>
            </w:r>
          </w:p>
        </w:tc>
        <w:tc>
          <w:tcPr>
            <w:tcW w:type="dxa" w:w="1440"/>
          </w:tcPr>
          <w:p>
            <w:r>
              <w:t>Inference Time (ms)</w:t>
            </w:r>
          </w:p>
        </w:tc>
      </w:tr>
      <w:tr>
        <w:tc>
          <w:tcPr>
            <w:tcW w:type="dxa" w:w="1440"/>
          </w:tcPr>
          <w:p>
            <w:r>
              <w:t>VGG16</w:t>
            </w:r>
          </w:p>
        </w:tc>
        <w:tc>
          <w:tcPr>
            <w:tcW w:type="dxa" w:w="1440"/>
          </w:tcPr>
          <w:p>
            <w:r>
              <w:t>65.2</w:t>
            </w:r>
          </w:p>
        </w:tc>
        <w:tc>
          <w:tcPr>
            <w:tcW w:type="dxa" w:w="1440"/>
          </w:tcPr>
          <w:p>
            <w:r>
              <w:t>48.3</w:t>
            </w:r>
          </w:p>
        </w:tc>
        <w:tc>
          <w:tcPr>
            <w:tcW w:type="dxa" w:w="1440"/>
          </w:tcPr>
          <w:p>
            <w:r>
              <w:t>72.1</w:t>
            </w:r>
          </w:p>
        </w:tc>
        <w:tc>
          <w:tcPr>
            <w:tcW w:type="dxa" w:w="1440"/>
          </w:tcPr>
          <w:p>
            <w:r>
              <w:t>138.4</w:t>
            </w:r>
          </w:p>
        </w:tc>
        <w:tc>
          <w:tcPr>
            <w:tcW w:type="dxa" w:w="1440"/>
          </w:tcPr>
          <w:p>
            <w:r>
              <w:t>145</w:t>
            </w:r>
          </w:p>
        </w:tc>
      </w:tr>
      <w:tr>
        <w:tc>
          <w:tcPr>
            <w:tcW w:type="dxa" w:w="1440"/>
          </w:tcPr>
          <w:p>
            <w:r>
              <w:t>ResNet50</w:t>
            </w:r>
          </w:p>
        </w:tc>
        <w:tc>
          <w:tcPr>
            <w:tcW w:type="dxa" w:w="1440"/>
          </w:tcPr>
          <w:p>
            <w:r>
              <w:t>71.8</w:t>
            </w:r>
          </w:p>
        </w:tc>
        <w:tc>
          <w:tcPr>
            <w:tcW w:type="dxa" w:w="1440"/>
          </w:tcPr>
          <w:p>
            <w:r>
              <w:t>52.7</w:t>
            </w:r>
          </w:p>
        </w:tc>
        <w:tc>
          <w:tcPr>
            <w:tcW w:type="dxa" w:w="1440"/>
          </w:tcPr>
          <w:p>
            <w:r>
              <w:t>75.3</w:t>
            </w:r>
          </w:p>
        </w:tc>
        <w:tc>
          <w:tcPr>
            <w:tcW w:type="dxa" w:w="1440"/>
          </w:tcPr>
          <w:p>
            <w:r>
              <w:t>25.6</w:t>
            </w:r>
          </w:p>
        </w:tc>
        <w:tc>
          <w:tcPr>
            <w:tcW w:type="dxa" w:w="1440"/>
          </w:tcPr>
          <w:p>
            <w:r>
              <w:t>98</w:t>
            </w:r>
          </w:p>
        </w:tc>
      </w:tr>
      <w:tr>
        <w:tc>
          <w:tcPr>
            <w:tcW w:type="dxa" w:w="1440"/>
          </w:tcPr>
          <w:p>
            <w:r>
              <w:t>Xception</w:t>
            </w:r>
          </w:p>
        </w:tc>
        <w:tc>
          <w:tcPr>
            <w:tcW w:type="dxa" w:w="1440"/>
          </w:tcPr>
          <w:p>
            <w:r>
              <w:t>78.4</w:t>
            </w:r>
          </w:p>
        </w:tc>
        <w:tc>
          <w:tcPr>
            <w:tcW w:type="dxa" w:w="1440"/>
          </w:tcPr>
          <w:p>
            <w:r>
              <w:t>61.2</w:t>
            </w:r>
          </w:p>
        </w:tc>
        <w:tc>
          <w:tcPr>
            <w:tcW w:type="dxa" w:w="1440"/>
          </w:tcPr>
          <w:p>
            <w:r>
              <w:t>79.8</w:t>
            </w:r>
          </w:p>
        </w:tc>
        <w:tc>
          <w:tcPr>
            <w:tcW w:type="dxa" w:w="1440"/>
          </w:tcPr>
          <w:p>
            <w:r>
              <w:t>22.9</w:t>
            </w:r>
          </w:p>
        </w:tc>
        <w:tc>
          <w:tcPr>
            <w:tcW w:type="dxa" w:w="1440"/>
          </w:tcPr>
          <w:p>
            <w:r>
              <w:t>112</w:t>
            </w:r>
          </w:p>
        </w:tc>
      </w:tr>
      <w:tr>
        <w:tc>
          <w:tcPr>
            <w:tcW w:type="dxa" w:w="1440"/>
          </w:tcPr>
          <w:p>
            <w:r>
              <w:t>EfficientNet-B0 (Flat)</w:t>
            </w:r>
          </w:p>
        </w:tc>
        <w:tc>
          <w:tcPr>
            <w:tcW w:type="dxa" w:w="1440"/>
          </w:tcPr>
          <w:p>
            <w:r>
              <w:t>82.1</w:t>
            </w:r>
          </w:p>
        </w:tc>
        <w:tc>
          <w:tcPr>
            <w:tcW w:type="dxa" w:w="1440"/>
          </w:tcPr>
          <w:p>
            <w:r>
              <w:t>68.5</w:t>
            </w:r>
          </w:p>
        </w:tc>
        <w:tc>
          <w:tcPr>
            <w:tcW w:type="dxa" w:w="1440"/>
          </w:tcPr>
          <w:p>
            <w:r>
              <w:t>81.2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67</w:t>
            </w:r>
          </w:p>
        </w:tc>
      </w:tr>
      <w:tr>
        <w:tc>
          <w:tcPr>
            <w:tcW w:type="dxa" w:w="1440"/>
          </w:tcPr>
          <w:p>
            <w:r>
              <w:t>Hierarchical EfficientNet (Ours)</w:t>
            </w:r>
          </w:p>
        </w:tc>
        <w:tc>
          <w:tcPr>
            <w:tcW w:type="dxa" w:w="1440"/>
          </w:tcPr>
          <w:p>
            <w:r>
              <w:t>98.65</w:t>
            </w:r>
          </w:p>
        </w:tc>
        <w:tc>
          <w:tcPr>
            <w:tcW w:type="dxa" w:w="1440"/>
          </w:tcPr>
          <w:p>
            <w:r>
              <w:t>100.0</w:t>
            </w:r>
          </w:p>
        </w:tc>
        <w:tc>
          <w:tcPr>
            <w:tcW w:type="dxa" w:w="1440"/>
          </w:tcPr>
          <w:p>
            <w:r>
              <w:t>86.69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73</w:t>
            </w:r>
          </w:p>
        </w:tc>
      </w:tr>
    </w:tbl>
    <w:p/>
    <w:p>
      <w:pPr>
        <w:pStyle w:val="Caption"/>
      </w:pPr>
      <w:r>
        <w:t>Table 2 Caption: Performance comparison of different CNN architectures. Our hierarchical EfficientNet achieves 98.65% recall and 100.0% precision for large-magnitude events (M ≥ 6.0) while maintaining competitive inference speed.</w:t>
      </w:r>
    </w:p>
    <w:p>
      <w:r>
        <w:br w:type="page"/>
      </w:r>
    </w:p>
    <w:p>
      <w:pPr>
        <w:pStyle w:val="Heading2"/>
      </w:pPr>
      <w:r>
        <w:t>Table 3: Confusion Matrix - Magnitude Classification</w:t>
      </w:r>
    </w:p>
    <w:p>
      <w:pPr>
        <w:pStyle w:val="Caption"/>
      </w:pPr>
      <w:r>
        <w:t>Confusion matrix showing model predictions vs. actual classes on test set (303 samples). Key result: 98.6% recall for Large events with 100.0% precision.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