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hierarchical_efficientnet_b0_arch_681b29"/>
      <w:r>
        <w:rPr>
          <w:b/>
          <w:sz w:val="56"/>
        </w:rPr>
        <w:t xml:space="preserve">Hierarchical EfficientNet-B0 Architecture for Robust Earthquake Precursor Detection: Mitigating Solar Cycle Bias in Ultra-Low Frequency Geomagnetic Anomaly Classification</w:t>
      </w:r>
      <w:bookmarkEnd w:id="0"/>
    </w:p>
    <w:p>
      <w:pPr>
        <w:spacing w:after="210" w:lineRule="auto"/>
      </w:pPr>
      <w:r>
        <w:rPr>
          <w:b/>
        </w:rPr>
        <w:t xml:space="preserve">Authors:</w:t>
      </w:r>
      <w:r>
        <w:rPr/>
        <w:br w:type="textWrapping"/>
      </w:r>
      <w:r>
        <w:rPr/>
        <w:t xml:space="preserve">First Author</w:t>
      </w:r>
      <m:oMath>
        <m:sSup>
          <m:sSupPr/>
          <m:e>
            <m:r>
              <m:rPr>
                <m:sty m:val="i"/>
              </m:rPr>
            </m:r>
          </m:e>
          <m:sup/>
        </m:sSup>
      </m:oMath>
      <w:r>
        <w:rPr/>
        <w:t xml:space="preserve">, Second Author</w:t>
      </w:r>
      <m:oMath>
        <m:sSup>
          <m:sSupPr/>
          <m:e>
            <m:r>
              <m:rPr>
                <m:sty m:val="i"/>
              </m:rPr>
            </m:r>
          </m:e>
          <m:sup/>
        </m:sSup>
      </m:oMath>
      <w:r>
        <w:rPr/>
        <w:t xml:space="preserve">, Third Author</w:t>
      </w:r>
      <m:oMath>
        <m:sSup>
          <m:sSupPr/>
          <m:e>
            <m:r>
              <m:rPr>
                <m:sty m:val="i"/>
              </m:rPr>
            </m:r>
          </m:e>
          <m:sup/>
        </m:sSup>
      </m:oMath>
    </w:p>
    <w:p>
      <w:pPr>
        <w:spacing w:after="210" w:lineRule="auto"/>
      </w:pPr>
      <m:oMath>
        <m:sSup>
          <m:sSupPr/>
          <m:e>
            <m:r>
              <m:rPr>
                <m:sty m:val="i"/>
              </m:rPr>
            </m:r>
          </m:e>
          <m:sup/>
        </m:sSup>
      </m:oMath>
      <w:r>
        <w:rPr/>
        <w:t xml:space="preserve"> Indonesian Agency for Meteorology, Climatology and Geophysics (BMKG), Jalan Angkasa 1 No. 2, Kemayoran, Jakarta 10720, Indonesia</w:t>
      </w:r>
    </w:p>
    <w:p>
      <w:pPr>
        <w:spacing w:after="210" w:lineRule="auto"/>
      </w:pPr>
      <w:r>
        <w:rPr/>
        <w:t xml:space="preserve">* Corresponding author. Email: </w:t>
      </w:r>
      <w:hyperlink r:id="rId5">
        <w:r>
          <w:rPr>
            <w:rFonts w:eastAsia="Georgia" w:cs="Georgia" w:ascii="Georgia" w:hAnsi="Georgia"/>
            <w:color w:val="4472C4"/>
          </w:rPr>
          <w:t xml:space="preserve">first.author@bmkg.go.id</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abstract"/>
      <w:r>
        <w:rPr>
          <w:b/>
          <w:sz w:val="42"/>
        </w:rPr>
        <w:t xml:space="preserve">Abstract</w:t>
      </w:r>
      <w:bookmarkEnd w:id="1"/>
    </w:p>
    <w:p>
      <w:pPr>
        <w:spacing w:after="210" w:lineRule="auto"/>
      </w:pPr>
      <w:r>
        <w:rPr>
          <w:rFonts w:eastAsia="Georgia" w:cs="Georgia" w:ascii="Georgia" w:hAnsi="Georgia"/>
        </w:rPr>
        <w:t xml:space="preserve">Short-term earthquake forecasting using ultra-low frequency geomagnetic precursors remains challenging because of low signal-to-noise ratios and strong temporal variability driven by the solar cycle. This study introduces a hierarchical EfficientNet-B0 architecture explicitly designed to disentangle lithospheric precursory signals from intense solar-induced noise in the 0.01–0.10 Hz band. A spectral homogenization strategy is proposed using 2,265 spectrograms derived from Z/H ratios recorded by the Indonesian geomagnetic observatory network between 2018 and 2025, including 1,000 "Modern Normal" samples from the peak of Solar Cycle 25 to enforce robustness under high-flux conditions. The model employs a two-stage decision gate comprising a binary precursor detector and a magnitude-aware head optimized with focal-style weighting to emphasize rare large events. On a spatially isolated test set, the system achieves 100.0% recall and 100.0% precision for earthquakes with magnitude M ≥ 6.0 while maintaining 89.0% overall binary accuracy and 86.0% specificity for quiet periods. Gradient-weighted class activation mapping indicates that the network focuses on Pc4–Pc5 pulsations in the 0.01–0.05 Hz band and on signal intensification within approximately 1–2 hours before mainshock occurrence, consistent with current physical models. With an inference time of about 85 ms per sample, the proposed framework provides a computationally efficient and operationally viable foundation for next-generation automated seismic alert systems in tectonically active regions.</w:t>
      </w:r>
    </w:p>
    <w:p>
      <w:pPr>
        <w:spacing w:after="210" w:lineRule="auto"/>
      </w:pPr>
      <w:r>
        <w:rPr>
          <w:b/>
        </w:rPr>
        <w:t xml:space="preserve">Keywords:</w:t>
      </w:r>
      <w:r>
        <w:rPr/>
        <w:t xml:space="preserve"> Earthquake forecasting; Geomagnetic precursors; EfficientNet; Hierarchical classification; Solar cycle; ULF signals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highlights"/>
      <w:r>
        <w:rPr>
          <w:b/>
          <w:sz w:val="42"/>
        </w:rPr>
        <w:t xml:space="preserve">Highlights</w:t>
      </w:r>
      <w:bookmarkEnd w:id="2"/>
    </w:p>
    <w:p>
      <w:pPr>
        <w:numPr>
          <w:ilvl w:val="0"/>
          <w:numId w:val="1"/>
        </w:numPr>
        <w:spacing w:lineRule="auto"/>
      </w:pPr>
      <w:r>
        <w:rPr/>
        <w:t xml:space="preserve">Hierarchical EfficientNet-B0 detects ULF geomagnetic earthquake precursors with high reliability.</w:t>
      </w:r>
    </w:p>
    <w:p>
      <w:pPr>
        <w:numPr>
          <w:ilvl w:val="0"/>
          <w:numId w:val="1"/>
        </w:numPr>
        <w:spacing w:lineRule="auto"/>
      </w:pPr>
      <w:r>
        <w:rPr/>
        <w:t xml:space="preserve">Spectral homogenization mitigates Solar Cycle 25 induced domain shift in Z/H spectrograms.</w:t>
      </w:r>
    </w:p>
    <w:p>
      <w:pPr>
        <w:numPr>
          <w:ilvl w:val="0"/>
          <w:numId w:val="1"/>
        </w:numPr>
        <w:spacing w:lineRule="auto"/>
      </w:pPr>
      <w:r>
        <w:rPr>
          <w:rFonts w:eastAsia="Georgia" w:cs="Georgia" w:ascii="Georgia" w:hAnsi="Georgia"/>
        </w:rPr>
        <w:t xml:space="preserve">Model achieves 100% recall and 100% precision for M ≥ 6.0 earthquakes on held-out data.</w:t>
      </w:r>
    </w:p>
    <w:p>
      <w:pPr>
        <w:numPr>
          <w:ilvl w:val="0"/>
          <w:numId w:val="1"/>
        </w:numPr>
        <w:spacing w:lineRule="auto"/>
      </w:pPr>
      <w:r>
        <w:rPr>
          <w:rFonts w:eastAsia="Georgia" w:cs="Georgia" w:ascii="Georgia" w:hAnsi="Georgia"/>
        </w:rPr>
        <w:t xml:space="preserve">Grad-CAM focuses on Pc4–Pc5 bands and 1–2 hour pre-seismic intensification windows.</w:t>
      </w:r>
    </w:p>
    <w:p>
      <w:pPr>
        <w:numPr>
          <w:ilvl w:val="0"/>
          <w:numId w:val="1"/>
        </w:numPr>
        <w:spacing w:lineRule="auto"/>
      </w:pPr>
      <w:r>
        <w:rPr>
          <w:rFonts w:eastAsia="Georgia" w:cs="Georgia" w:ascii="Georgia" w:hAnsi="Georgia"/>
        </w:rPr>
        <w:t xml:space="preserve">Inference time of ~85 ms per sample enables near-real-time multi-station deployment.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introduction"/>
      <w:r>
        <w:rPr>
          <w:b/>
          <w:sz w:val="42"/>
        </w:rPr>
        <w:t xml:space="preserve">1. Introduction</w:t>
      </w:r>
      <w:bookmarkEnd w:id="3"/>
    </w:p>
    <w:p>
      <w:pPr>
        <w:spacing w:after="210" w:lineRule="auto"/>
      </w:pPr>
      <w:r>
        <w:rPr/>
        <w:t xml:space="preserve">Earthquake-induced disasters continue to pose significant threats to human life and infrastructure, particularly in seismically active regions such as the Indonesian archipelago, which sits at the convergence of three major tectonic plates (Sieh and Natawidjaja, 2000). Despite advances in seismology, reliable short-term earthquake forecasting remains one of the most challenging problems in Earth sciences (Geller et al., 1997). Traditional seismological approaches based on P-wave detection provide warning times of only seconds to minutes, insufficient for effective evacuation and disaster mitigation (Allen and Melgar, 2019).</w:t>
      </w:r>
    </w:p>
    <w:p>
      <w:pPr>
        <w:spacing w:after="210" w:lineRule="auto"/>
      </w:pPr>
      <w:r>
        <w:rPr>
          <w:rFonts w:eastAsia="Georgia" w:cs="Georgia" w:ascii="Georgia" w:hAnsi="Georgia"/>
        </w:rPr>
        <w:t xml:space="preserve">Ultra-low frequency (ULF) electromagnetic signals (0.001–0.1 Hz) have emerged as promising earthquake precursors, with theoretical foundations in the lithosphere-atmosphere-ionosphere coupling (LAIC) mechanism (Pulinets and Ouzounov, 2011; Freund, 2011). Pre-seismic stress changes in the lithosphere generate electromagnetic emissions that propagate through the Earth's crust and manifest as detectable anomalies in geomagnetic field measurements (Hayakawa et al., 1996). Numerous studies have reported ULF anomalies preceding significant earthquakes, including the 1989 Loma Prieta earthquake (M7.1) (Fraser-Smith et al., 1990), the 2011 Tohoku earthquake (M9.0) (Hattori et al., 2013), and various events in the Indonesian region (Anggraini et al., 2024; Febri et al., 2019).</w:t>
      </w:r>
    </w:p>
    <w:p>
      <w:pPr>
        <w:spacing w:after="210" w:lineRule="auto"/>
      </w:pPr>
      <w:r>
        <w:rPr>
          <w:rFonts w:eastAsia="Georgia" w:cs="Georgia" w:ascii="Georgia" w:hAnsi="Georgia"/>
        </w:rPr>
        <w:t xml:space="preserve">However, operational implementation of ULF-based earthquake prediction systems faces two critical challenges. First, the signal-to-noise ratio of lithospheric electromagnetic emissions is inherently low, with precursory signals often buried within ambient geomagnetic noise from ionospheric currents, magnetospheric disturbances, and artificial sources (Masci and Thomas, 2015). Second, solar cycle variations introduce systematic temporal bias—geomagnetic activity during solar maximum periods (high flux) differs substantially from solar minimum conditions, leading to domain shift problems in machine learning models trained on historical data (Zafar et al., 2024).</w:t>
      </w:r>
    </w:p>
    <w:p>
      <w:pPr>
        <w:spacing w:after="210" w:lineRule="auto"/>
      </w:pPr>
      <w:r>
        <w:rPr>
          <w:rFonts w:eastAsia="Georgia" w:cs="Georgia" w:ascii="Georgia" w:hAnsi="Georgia"/>
        </w:rPr>
        <w:t xml:space="preserve">Recent advances in deep learning have transformed seismic signal processing, with convolutional neural networks (CNNs) demonstrating superior performance over traditional statistical methods in pattern recognition tasks (Bergen et al., 2019; Mousavi and Beroza, 2023). However, direct application of these architectures to ULF precursor detection has yielded inconsistent results, with reported recall rates for large magnitude events ranging from 60–85%, insufficient for operational early warning systems (Kiruthiga et al., 2024). The primary limitation is the treatment of earthquake precursor detection as a flat multi-class classification problem, ignoring the hierarchical nature of seismic event categorization.</w:t>
      </w:r>
    </w:p>
    <w:p>
      <w:pPr>
        <w:spacing w:after="210" w:lineRule="auto"/>
      </w:pPr>
      <w:r>
        <w:rPr>
          <w:rFonts w:eastAsia="Georgia" w:cs="Georgia" w:ascii="Georgia" w:hAnsi="Georgia"/>
        </w:rPr>
        <w:t xml:space="preserve">This study addresses these limitations through three key innovations: (1) hierarchical architecture design separating binary precursor detection from magnitude estimation, (2) solar cycle homogenization incorporating 1,000 modern Normal samples from the 2024–2025 solar maximum, and (3) magnitude-prioritized optimization achieving 100% recall for catastrophic events (M≥6.0). Our contributions advance the state-of-the-art in earthquake precursor detection by providing unprecedented reliability for Large magnitude events while maintaining 86% specificity during high solar flux periods.</w:t>
      </w:r>
    </w:p>
    <w:p>
      <w:pPr>
        <w:spacing w:after="210" w:lineRule="auto"/>
      </w:pPr>
      <w:r>
        <w:rPr/>
        <w:t xml:space="preserve">The remainder of this paper is organized as follows: Section 2 reviews related work in ULF geomagnetic precursor detection. Section 3 describes data acquisition, preprocessing, and homogenization strategy. Section 4 details the hierarchical EfficientNet-B0 architecture. Section 5 presents comprehensive evaluation results. Section 6 discusses physical interpretation through Grad-CAM analysis. Section 7 concludes with future research directions.</w:t>
      </w:r>
    </w:p>
    <w:p>
      <w:pPr>
        <w:spacing w:line="271" w:before="240" w:lineRule="auto"/>
      </w:pPr>
      <w:bookmarkStart w:id="4" w:name="bm_2_related_work"/>
      <w:r>
        <w:rPr>
          <w:b/>
          <w:sz w:val="42"/>
        </w:rPr>
        <w:t xml:space="preserve">2. Related Work</w:t>
      </w:r>
      <w:bookmarkEnd w:id="4"/>
    </w:p>
    <w:p>
      <w:pPr>
        <w:spacing w:line="271" w:before="240" w:lineRule="auto"/>
      </w:pPr>
      <w:bookmarkStart w:id="5" w:name="bm_2_1_ulf_geomagnetic_precursors_e3952e"/>
      <w:r>
        <w:rPr>
          <w:b/>
          <w:sz w:val="33"/>
        </w:rPr>
        <w:t xml:space="preserve">2.1 ULF Geomagnetic Precursors and Physical Mechanisms</w:t>
      </w:r>
      <w:bookmarkEnd w:id="5"/>
    </w:p>
    <w:p>
      <w:pPr>
        <w:spacing w:after="210" w:lineRule="auto"/>
      </w:pPr>
      <w:r>
        <w:rPr>
          <w:rFonts w:eastAsia="Georgia" w:cs="Georgia" w:ascii="Georgia" w:hAnsi="Georgia"/>
        </w:rPr>
        <w:t xml:space="preserve">The theoretical foundation for ULF electromagnetic earthquake precursors rests on the lithosphere-atmosphere-ionosphere coupling (LAIC) mechanism (Pulinets and Davidenko, 2014). As tectonic stress accumulates in the pre-seismic phase, microfracturing and electrokinetic effects in the lithosphere generate electromagnetic emissions in the ULF range (Surkov and Hayakawa, 2014). These signals propagate through the Earth's crust with low attenuation, making them detectable at surface geomagnetic observatories within the Dobrovolsky preparation zone, defined by radius R = 10^(0.43M) km, where M is earthquake magnitude (Dobrovolsky et al., 1979).</w:t>
      </w:r>
    </w:p>
    <w:p>
      <w:pPr>
        <w:spacing w:after="210" w:lineRule="auto"/>
      </w:pPr>
      <w:r>
        <w:rPr>
          <w:rFonts w:eastAsia="Georgia" w:cs="Georgia" w:ascii="Georgia" w:hAnsi="Georgia"/>
        </w:rPr>
        <w:t xml:space="preserve">Empirical studies have documented ULF anomalies 7–30 days before major earthquakes (Hattori, 2004; Hayakawa et al., 2012). The Z/H spectral ratio method, which compares vertical (Z) to horizontal (H) magnetic field components, has proven effective in isolating lithospheric signals from ionospheric contamination (Currie and Waters, 2014).</w:t>
      </w:r>
    </w:p>
    <w:p>
      <w:pPr>
        <w:spacing w:line="271" w:before="240" w:lineRule="auto"/>
      </w:pPr>
      <w:bookmarkStart w:id="6" w:name="bm_2_2_machine_learning_approache_40534a"/>
      <w:r>
        <w:rPr>
          <w:b/>
          <w:sz w:val="33"/>
        </w:rPr>
        <w:t xml:space="preserve">2.2 Machine Learning Approaches to Precursor Detection</w:t>
      </w:r>
      <w:bookmarkEnd w:id="6"/>
    </w:p>
    <w:p>
      <w:pPr>
        <w:spacing w:after="210" w:lineRule="auto"/>
      </w:pPr>
      <w:r>
        <w:rPr>
          <w:rFonts w:eastAsia="Georgia" w:cs="Georgia" w:ascii="Georgia" w:hAnsi="Georgia"/>
        </w:rPr>
        <w:t xml:space="preserve">Early machine learning applications employed support vector machines (SVMs) and random forests on handcrafted features extracted from geomagnetic time series (Asim et al., 2017). The advent of deep learning enabled end-to-end learning from raw spectrograms, eliminating manual feature engineering (Perol et al., 2018). VGG16 and ResNet architectures achieved 85–90% accuracy in distinguishing seismic phases (Zhu and Beroza, 2019). However, direct application to ULF precursor detection yielded suboptimal results, with solar wind parameters confounding predictions and false alarm rates exceeding 20% during geomagnetic storms (Zafar et al., 2024).</w:t>
      </w:r>
    </w:p>
    <w:p>
      <w:pPr>
        <w:spacing w:line="271" w:before="240" w:lineRule="auto"/>
      </w:pPr>
      <w:bookmarkStart w:id="7" w:name="bm_2_3_solar_cycle_interference_a_617b87"/>
      <w:r>
        <w:rPr>
          <w:b/>
          <w:sz w:val="33"/>
        </w:rPr>
        <w:t xml:space="preserve">2.3 Solar Cycle Interference and Domain Adaptation</w:t>
      </w:r>
      <w:bookmarkEnd w:id="7"/>
    </w:p>
    <w:p>
      <w:pPr>
        <w:spacing w:after="210" w:lineRule="auto"/>
      </w:pPr>
      <w:r>
        <w:rPr>
          <w:rFonts w:eastAsia="Georgia" w:cs="Georgia" w:ascii="Georgia" w:hAnsi="Georgia"/>
        </w:rPr>
        <w:t xml:space="preserve">Solar activity follows an approximately 11-year cycle, with solar maximum periods exhibiting 3–5 times higher geomagnetic activity than solar minimum (Anagnostopoulos et al., 2021). This creates a fundamental challenge: patterns that appear anomalous during quiet solar conditions may represent baseline activity during active periods. Jarmołowski et al. (2025) demonstrated significant quarterly correlations between VTEC anomalies and seismic energy, but noted these correlations appear and vanish at varying times across different years. Previous attempts at seasonal normalization and geomagnetic activity indices as input features proved insufficient for capturing complex nonlinear relationships between solar forcing and local geomagnetic variations (Oikonomou et al., 2021).</w:t>
      </w:r>
    </w:p>
    <w:p>
      <w:pPr>
        <w:spacing w:line="271" w:before="240" w:lineRule="auto"/>
      </w:pPr>
      <w:bookmarkStart w:id="8" w:name="bm_2_4_efficientnet_architecture_24b92c"/>
      <w:r>
        <w:rPr>
          <w:b/>
          <w:sz w:val="33"/>
        </w:rPr>
        <w:t xml:space="preserve">2.4 EfficientNet Architecture and Applications</w:t>
      </w:r>
      <w:bookmarkEnd w:id="8"/>
    </w:p>
    <w:p>
      <w:pPr>
        <w:spacing w:after="210" w:lineRule="auto"/>
      </w:pPr>
      <w:r>
        <w:rPr/>
        <w:t xml:space="preserve">EfficientNet, introduced by Tan and Le (2019), employs compound scaling to balance network depth, width, and resolution, achieving state-of-the-art performance with significantly fewer parameters than predecessors. The EfficientNet-B0 variant (5.3M parameters) provides optimal balance between computational efficiency and feature extraction capability. Recent applications include post-disaster building damage assessment and seismic waveform classification (Ramakrishna, 2024). However, no previous study has employed hierarchical EfficientNet architectures specifically designed for earthquake precursor detection with explicit solar cycle bias mitigation.</w:t>
      </w:r>
    </w:p>
    <w:p>
      <w:pPr>
        <w:spacing w:line="271" w:before="240" w:lineRule="auto"/>
      </w:pPr>
      <w:bookmarkStart w:id="9" w:name="bm_3_data_and_methodology"/>
      <w:r>
        <w:rPr>
          <w:b/>
          <w:sz w:val="42"/>
        </w:rPr>
        <w:t xml:space="preserve">3. Data and Methodology</w:t>
      </w:r>
      <w:bookmarkEnd w:id="9"/>
    </w:p>
    <w:p>
      <w:pPr>
        <w:spacing w:line="271" w:before="240" w:lineRule="auto"/>
      </w:pPr>
      <w:bookmarkStart w:id="10" w:name="bm_3_1_geomagnetic_observatory_ne_a3fc54"/>
      <w:r>
        <w:rPr>
          <w:b/>
          <w:sz w:val="33"/>
        </w:rPr>
        <w:t xml:space="preserve">3.1 Geomagnetic Observatory Network and Data Acquisition</w:t>
      </w:r>
      <w:bookmarkEnd w:id="10"/>
    </w:p>
    <w:p>
      <w:pPr>
        <w:spacing w:after="210" w:lineRule="auto"/>
      </w:pPr>
      <w:r>
        <w:rPr>
          <w:rFonts w:eastAsia="Georgia" w:cs="Georgia" w:ascii="Georgia" w:hAnsi="Georgia"/>
        </w:rPr>
        <w:t xml:space="preserve">This study utilizes data from the Indonesian Geomagnetic Observatory Network operated by BMKG, comprising 22 stations distributed across the archipelago. Figure 1 shows the geographical distribution covering critical seismic zones along the Sunda Arc subduction zone. Each observatory records three-component magnetic field variations (H: horizontal north, D: declination east, Z: vertical downward) at 1 Hz sampling rate with LEMI-018 fluxgate magnetometers (resolution: 0.01 nT). For this study, we selected high-quality continuous recordings from 8 primary stations (GTO, MLB, SCN, YOG, KPY, TKT, PLU, SMI) during 2018–2025, prioritizing periods with data completeness exceeding 95%.</w:t>
      </w:r>
    </w:p>
    <w:p>
      <w:pPr>
        <w:spacing w:line="271" w:before="240" w:lineRule="auto"/>
      </w:pPr>
      <w:bookmarkStart w:id="11" w:name="bm_3_2_earthquake_catalog_and_eve_49beeb"/>
      <w:r>
        <w:rPr>
          <w:b/>
          <w:sz w:val="33"/>
        </w:rPr>
        <w:t xml:space="preserve">3.2 Earthquake Catalog and Event Selection</w:t>
      </w:r>
      <w:bookmarkEnd w:id="11"/>
    </w:p>
    <w:p>
      <w:pPr>
        <w:spacing w:after="210" w:lineRule="auto"/>
      </w:pPr>
      <w:r>
        <w:rPr>
          <w:rFonts w:eastAsia="Georgia" w:cs="Georgia" w:ascii="Georgia" w:hAnsi="Georgia"/>
        </w:rPr>
        <w:t xml:space="preserve">Ground truth earthquake events were obtained from the BMKG seismic catalog, integrating local seismometer network detections with international databases (USGS, ISC). Selection criteria included: magnitude range 4.5 ≤ M ≤ 7.5, depth D ≤ 100 km (shallow crustal events), epicentral distance within Dobrovolsky radius from at least one observatory, and temporal coverage January 2018–December 2025. This yielded 837 qualifying events categorized into: Moderate (4.5 ≤ M &lt; 5.0, n=412), Medium (5.0 ≤ M &lt; 6.0, n=298), and Large (M ≥ 6.0, n=127).</w:t>
      </w:r>
    </w:p>
    <w:p>
      <w:pPr>
        <w:spacing w:line="271" w:before="240" w:lineRule="auto"/>
      </w:pPr>
      <w:bookmarkStart w:id="12" w:name="bm_3_3_signal_processing_and_spec_6c3e80"/>
      <w:r>
        <w:rPr>
          <w:b/>
          <w:sz w:val="33"/>
        </w:rPr>
        <w:t xml:space="preserve">3.3 Signal Processing and Spectrogram Generation</w:t>
      </w:r>
      <w:bookmarkEnd w:id="12"/>
    </w:p>
    <w:p>
      <w:pPr>
        <w:spacing w:after="210" w:lineRule="auto"/>
      </w:pPr>
      <w:r>
        <w:rPr/>
        <w:t xml:space="preserve">For each earthquake event, we extracted 24-hour geomagnetic recordings immediately preceding mainshock occurrence. Raw magnetic field measurements were processed using Short-Time Fourier Transform with Hanning window (length: 1024 samples, 50% overlap). The Z/H spectral ratio method was applied:</w:t>
      </w:r>
    </w:p>
    <w:p>
      <w:pPr>
        <w:spacing w:after="210" w:lineRule="auto"/>
      </w:pPr>
      <w:r>
        <w:rPr>
          <w:rFonts w:eastAsia="Georgia" w:cs="Georgia" w:ascii="Georgia" w:hAnsi="Georgia"/>
        </w:rPr>
        <w:t xml:space="preserve">S_{Z/H}(f,t) = |STFT_Z(f,t)|^2 / |STFT_H(f,t)|^2</w:t>
      </w:r>
    </w:p>
    <w:p>
      <w:pPr>
        <w:spacing w:after="210" w:lineRule="auto"/>
      </w:pPr>
      <w:r>
        <w:rPr>
          <w:rFonts w:eastAsia="Georgia" w:cs="Georgia" w:ascii="Georgia" w:hAnsi="Georgia"/>
        </w:rPr>
        <w:t xml:space="preserve">where the frequency range was restricted to ULF band: 0.01–0.5 Hz. Time-frequency representations were visualized as 224×224 pixel RGB images using Jet colormap, mapping power spectral density to color intensity. Each spectrogram represents three channels (R, G, B) encoding power intensity, enabling direct input to pretrained CNN weights.</w:t>
      </w:r>
    </w:p>
    <w:p>
      <w:pPr>
        <w:spacing w:line="271" w:before="240" w:lineRule="auto"/>
      </w:pPr>
      <w:bookmarkStart w:id="13" w:name="bm_3_4_solar_cycle_flux_homogeniz_bc943f"/>
      <w:r>
        <w:rPr>
          <w:b/>
          <w:sz w:val="33"/>
        </w:rPr>
        <w:t xml:space="preserve">3.4 Solar Cycle Flux Homogenization Strategy</w:t>
      </w:r>
      <w:bookmarkEnd w:id="13"/>
    </w:p>
    <w:p>
      <w:pPr>
        <w:spacing w:after="210" w:lineRule="auto"/>
      </w:pPr>
      <w:r>
        <w:rPr>
          <w:rFonts w:eastAsia="Georgia" w:cs="Georgia" w:ascii="Georgia" w:hAnsi="Georgia"/>
        </w:rPr>
        <w:t xml:space="preserve">Preliminary analysis revealed systematic differences in spectrogram appearance between solar minimum (2018–2019, F10.7 flux ≈70 sfu) and solar maximum (2024–2025, F10.7 flux ≈180 sfu) periods. To address this domain shift, we implemented a stratified sampling strategy across solar activity phases. The key innovation is inclusion of 1,000 Normal samples from the 2024–2025 high-flux period, representing 74.6% of all Normal class examples. This forces the model to learn that elevated geomagnetic activity alone does not indicate earthquake precursors, requiring discrimination based on spectral pattern structure rather than absolute power levels.</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bottom w:val="single" w:sz="8" w:space="0" w:color="000000"/>
            </w:tcBorders>
            <w:vAlign w:val="center"/>
          </w:tcPr>
          <w:p>
            <w:pPr>
              <w:spacing w:lineRule="auto"/>
              <w:jc w:val="left"/>
            </w:pPr>
            <w:r>
              <w:rPr/>
              <w:t xml:space="preserve">Class</w:t>
            </w:r>
          </w:p>
        </w:tc>
        <w:tc>
          <w:tcPr>
            <w:tcBorders>
              <w:top w:val="single" w:sz="8" w:space="0" w:color="000000"/>
              <w:bottom w:val="single" w:sz="8" w:space="0" w:color="000000"/>
            </w:tcBorders>
            <w:vAlign w:val="center"/>
          </w:tcPr>
          <w:p>
            <w:pPr>
              <w:spacing w:lineRule="auto"/>
              <w:jc w:val="center"/>
            </w:pPr>
            <w:r>
              <w:rPr>
                <w:rFonts w:eastAsia="Georgia" w:cs="Georgia" w:ascii="Georgia" w:hAnsi="Georgia"/>
              </w:rPr>
              <w:t xml:space="preserve">2018–2019</w:t>
            </w:r>
          </w:p>
        </w:tc>
        <w:tc>
          <w:tcPr>
            <w:tcBorders>
              <w:top w:val="single" w:sz="8" w:space="0" w:color="000000"/>
              <w:bottom w:val="single" w:sz="8" w:space="0" w:color="000000"/>
            </w:tcBorders>
            <w:vAlign w:val="center"/>
          </w:tcPr>
          <w:p>
            <w:pPr>
              <w:spacing w:lineRule="auto"/>
              <w:jc w:val="center"/>
            </w:pPr>
            <w:r>
              <w:rPr>
                <w:rFonts w:eastAsia="Georgia" w:cs="Georgia" w:ascii="Georgia" w:hAnsi="Georgia"/>
              </w:rPr>
              <w:t xml:space="preserve">2024–2025</w:t>
            </w:r>
          </w:p>
        </w:tc>
        <w:tc>
          <w:tcPr>
            <w:tcBorders>
              <w:top w:val="single" w:sz="8" w:space="0" w:color="000000"/>
              <w:bottom w:val="single" w:sz="8" w:space="0" w:color="000000"/>
            </w:tcBorders>
            <w:vAlign w:val="center"/>
          </w:tcPr>
          <w:p>
            <w:pPr>
              <w:spacing w:lineRule="auto"/>
              <w:jc w:val="center"/>
            </w:pPr>
            <w:r>
              <w:rPr/>
              <w:t xml:space="preserve">Total</w:t>
            </w:r>
          </w:p>
        </w:tc>
      </w:tr>
      <w:tr>
        <w:trPr>
          <w:cantSplit/>
        </w:trPr>
        <w:tc>
          <w:tcPr>
            <w:tcBorders/>
            <w:vAlign w:val="center"/>
          </w:tcPr>
          <w:p>
            <w:pPr>
              <w:spacing w:lineRule="auto"/>
              <w:jc w:val="left"/>
            </w:pPr>
            <w:r>
              <w:rPr/>
              <w:t xml:space="preserve">Normal (Quiet)</w:t>
            </w:r>
          </w:p>
        </w:tc>
        <w:tc>
          <w:tcPr>
            <w:tcBorders/>
            <w:vAlign w:val="center"/>
          </w:tcPr>
          <w:p>
            <w:pPr>
              <w:spacing w:lineRule="auto"/>
              <w:jc w:val="center"/>
            </w:pPr>
            <w:r>
              <w:rPr/>
              <w:t xml:space="preserve">340</w:t>
            </w:r>
          </w:p>
        </w:tc>
        <w:tc>
          <w:tcPr>
            <w:tcBorders/>
            <w:vAlign w:val="center"/>
          </w:tcPr>
          <w:p>
            <w:pPr>
              <w:spacing w:lineRule="auto"/>
              <w:jc w:val="center"/>
            </w:pPr>
            <w:r>
              <w:rPr/>
              <w:t xml:space="preserve">1000</w:t>
            </w:r>
          </w:p>
        </w:tc>
        <w:tc>
          <w:tcPr>
            <w:tcBorders/>
            <w:vAlign w:val="center"/>
          </w:tcPr>
          <w:p>
            <w:pPr>
              <w:spacing w:lineRule="auto"/>
              <w:jc w:val="center"/>
            </w:pPr>
            <w:r>
              <w:rPr/>
              <w:t xml:space="preserve">1340</w:t>
            </w:r>
          </w:p>
        </w:tc>
      </w:tr>
      <w:tr>
        <w:trPr>
          <w:cantSplit/>
        </w:trPr>
        <w:tc>
          <w:tcPr>
            <w:tcBorders/>
            <w:vAlign w:val="center"/>
          </w:tcPr>
          <w:p>
            <w:pPr>
              <w:spacing w:lineRule="auto"/>
              <w:jc w:val="left"/>
            </w:pPr>
            <w:r>
              <w:rPr>
                <w:rFonts w:eastAsia="Georgia" w:cs="Georgia" w:ascii="Georgia" w:hAnsi="Georgia"/>
              </w:rPr>
              <w:t xml:space="preserve">Moderate (M4.5–4.9)</w:t>
            </w:r>
          </w:p>
        </w:tc>
        <w:tc>
          <w:tcPr>
            <w:tcBorders/>
            <w:vAlign w:val="center"/>
          </w:tcPr>
          <w:p>
            <w:pPr>
              <w:spacing w:lineRule="auto"/>
              <w:jc w:val="center"/>
            </w:pPr>
            <w:r>
              <w:rPr/>
              <w:t xml:space="preserve">280</w:t>
            </w:r>
          </w:p>
        </w:tc>
        <w:tc>
          <w:tcPr>
            <w:tcBorders/>
            <w:vAlign w:val="center"/>
          </w:tcPr>
          <w:p>
            <w:pPr>
              <w:spacing w:lineRule="auto"/>
              <w:jc w:val="center"/>
            </w:pPr>
            <w:r>
              <w:rPr/>
              <w:t xml:space="preserve">120</w:t>
            </w:r>
          </w:p>
        </w:tc>
        <w:tc>
          <w:tcPr>
            <w:tcBorders/>
            <w:vAlign w:val="center"/>
          </w:tcPr>
          <w:p>
            <w:pPr>
              <w:spacing w:lineRule="auto"/>
              <w:jc w:val="center"/>
            </w:pPr>
            <w:r>
              <w:rPr/>
              <w:t xml:space="preserve">400</w:t>
            </w:r>
          </w:p>
        </w:tc>
      </w:tr>
      <w:tr>
        <w:trPr>
          <w:cantSplit/>
        </w:trPr>
        <w:tc>
          <w:tcPr>
            <w:tcBorders/>
            <w:vAlign w:val="center"/>
          </w:tcPr>
          <w:p>
            <w:pPr>
              <w:spacing w:lineRule="auto"/>
              <w:jc w:val="left"/>
            </w:pPr>
            <w:r>
              <w:rPr>
                <w:rFonts w:eastAsia="Georgia" w:cs="Georgia" w:ascii="Georgia" w:hAnsi="Georgia"/>
              </w:rPr>
              <w:t xml:space="preserve">Medium (M5.0–5.9)</w:t>
            </w:r>
          </w:p>
        </w:tc>
        <w:tc>
          <w:tcPr>
            <w:tcBorders/>
            <w:vAlign w:val="center"/>
          </w:tcPr>
          <w:p>
            <w:pPr>
              <w:spacing w:lineRule="auto"/>
              <w:jc w:val="center"/>
            </w:pPr>
            <w:r>
              <w:rPr/>
              <w:t xml:space="preserve">240</w:t>
            </w:r>
          </w:p>
        </w:tc>
        <w:tc>
          <w:tcPr>
            <w:tcBorders/>
            <w:vAlign w:val="center"/>
          </w:tcPr>
          <w:p>
            <w:pPr>
              <w:spacing w:lineRule="auto"/>
              <w:jc w:val="center"/>
            </w:pPr>
            <w:r>
              <w:rPr/>
              <w:t xml:space="preserve">85</w:t>
            </w:r>
          </w:p>
        </w:tc>
        <w:tc>
          <w:tcPr>
            <w:tcBorders/>
            <w:vAlign w:val="center"/>
          </w:tcPr>
          <w:p>
            <w:pPr>
              <w:spacing w:lineRule="auto"/>
              <w:jc w:val="center"/>
            </w:pPr>
            <w:r>
              <w:rPr/>
              <w:t xml:space="preserve">325</w:t>
            </w:r>
          </w:p>
        </w:tc>
      </w:tr>
      <w:tr>
        <w:trPr>
          <w:cantSplit/>
        </w:trPr>
        <w:tc>
          <w:tcPr>
            <w:tcBorders>
              <w:bottom w:val="single" w:sz="8" w:space="0" w:color="000000"/>
            </w:tcBorders>
            <w:vAlign w:val="center"/>
          </w:tcPr>
          <w:p>
            <w:pPr>
              <w:spacing w:lineRule="auto"/>
              <w:jc w:val="left"/>
            </w:pPr>
            <w:r>
              <w:rPr>
                <w:rFonts w:eastAsia="Georgia" w:cs="Georgia" w:ascii="Georgia" w:hAnsi="Georgia"/>
              </w:rPr>
              <w:t xml:space="preserve">Large (M≥6.0)</w:t>
            </w:r>
          </w:p>
        </w:tc>
        <w:tc>
          <w:tcPr>
            <w:tcBorders>
              <w:bottom w:val="single" w:sz="8" w:space="0" w:color="000000"/>
            </w:tcBorders>
            <w:vAlign w:val="center"/>
          </w:tcPr>
          <w:p>
            <w:pPr>
              <w:spacing w:lineRule="auto"/>
              <w:jc w:val="center"/>
            </w:pPr>
            <w:r>
              <w:rPr/>
              <w:t xml:space="preserve">140</w:t>
            </w:r>
          </w:p>
        </w:tc>
        <w:tc>
          <w:tcPr>
            <w:tcBorders>
              <w:bottom w:val="single" w:sz="8" w:space="0" w:color="000000"/>
            </w:tcBorders>
            <w:vAlign w:val="center"/>
          </w:tcPr>
          <w:p>
            <w:pPr>
              <w:spacing w:lineRule="auto"/>
              <w:jc w:val="center"/>
            </w:pPr>
            <w:r>
              <w:rPr/>
              <w:t xml:space="preserve">60</w:t>
            </w:r>
          </w:p>
        </w:tc>
        <w:tc>
          <w:tcPr>
            <w:tcBorders>
              <w:bottom w:val="single" w:sz="8" w:space="0" w:color="000000"/>
            </w:tcBorders>
            <w:vAlign w:val="center"/>
          </w:tcPr>
          <w:p>
            <w:pPr>
              <w:spacing w:lineRule="auto"/>
              <w:jc w:val="center"/>
            </w:pPr>
            <w:r>
              <w:rPr/>
              <w:t xml:space="preserve">200</w:t>
            </w:r>
          </w:p>
        </w:tc>
      </w:tr>
      <w:tr>
        <w:trPr>
          <w:cantSplit/>
        </w:trPr>
        <w:tc>
          <w:tcPr>
            <w:tcBorders>
              <w:bottom w:val="single" w:sz="8" w:space="0" w:color="000000"/>
            </w:tcBorders>
            <w:vAlign w:val="center"/>
          </w:tcPr>
          <w:p>
            <w:pPr>
              <w:spacing w:lineRule="auto"/>
              <w:jc w:val="left"/>
            </w:pPr>
            <w:r>
              <w:rPr/>
              <w:t xml:space="preserve">Total</w:t>
            </w:r>
          </w:p>
        </w:tc>
        <w:tc>
          <w:tcPr>
            <w:tcBorders>
              <w:bottom w:val="single" w:sz="8" w:space="0" w:color="000000"/>
            </w:tcBorders>
            <w:vAlign w:val="center"/>
          </w:tcPr>
          <w:p>
            <w:pPr>
              <w:spacing w:lineRule="auto"/>
              <w:jc w:val="center"/>
            </w:pPr>
            <w:r>
              <w:rPr/>
              <w:t xml:space="preserve">1000</w:t>
            </w:r>
          </w:p>
        </w:tc>
        <w:tc>
          <w:tcPr>
            <w:tcBorders>
              <w:bottom w:val="single" w:sz="8" w:space="0" w:color="000000"/>
            </w:tcBorders>
            <w:vAlign w:val="center"/>
          </w:tcPr>
          <w:p>
            <w:pPr>
              <w:spacing w:lineRule="auto"/>
              <w:jc w:val="center"/>
            </w:pPr>
            <w:r>
              <w:rPr/>
              <w:t xml:space="preserve">1265</w:t>
            </w:r>
          </w:p>
        </w:tc>
        <w:tc>
          <w:tcPr>
            <w:tcBorders>
              <w:bottom w:val="single" w:sz="8" w:space="0" w:color="000000"/>
            </w:tcBorders>
            <w:vAlign w:val="center"/>
          </w:tcPr>
          <w:p>
            <w:pPr>
              <w:spacing w:lineRule="auto"/>
              <w:jc w:val="center"/>
            </w:pPr>
            <w:r>
              <w:rPr/>
              <w:t xml:space="preserve">2265</w:t>
            </w:r>
          </w:p>
        </w:tc>
      </w:tr>
    </w:tbl>
    <w:p>
      <w:pPr>
        <w:spacing w:lineRule="auto"/>
      </w:pPr>
    </w:p>
    <w:p>
      <w:pPr>
        <w:spacing w:lineRule="auto"/>
      </w:pPr>
      <w:r>
        <w:rPr>
          <w:rFonts w:eastAsia="Georgia" w:cs="Georgia" w:ascii="Georgia" w:hAnsi="Georgia"/>
        </w:rPr>
        <w:t xml:space="preserve">Table 1: Dataset composition showing temporal distribution across solar activity phases. Deliberate oversampling of Normal class from 2024–2025 teaches the model solar noise discrimination.</w:t>
      </w:r>
    </w:p>
    <w:p>
      <w:pPr>
        <w:spacing w:after="210" w:lineRule="auto"/>
      </w:pPr>
      <w:r>
        <w:rPr/>
        <w:t xml:space="preserve">All spectrograms underwent automated quality screening to exclude instrumental artifacts (saturation, dropouts), magnetic storm contamination (Dst &lt; -100 nT), lightning-induced transients, and data completeness &lt; 90%. After quality control, the final dataset comprised 2,265 spectrograms. Data augmentation was NOT applied to avoid introducing artificial patterns.</w:t>
      </w:r>
    </w:p>
    <w:p>
      <w:pPr>
        <w:spacing w:line="271" w:before="240" w:lineRule="auto"/>
      </w:pPr>
      <w:bookmarkStart w:id="14" w:name="bm_3_5_dataset_partitioning"/>
      <w:r>
        <w:rPr>
          <w:b/>
          <w:sz w:val="33"/>
        </w:rPr>
        <w:t xml:space="preserve">3.5 Dataset Partitioning</w:t>
      </w:r>
      <w:bookmarkEnd w:id="14"/>
    </w:p>
    <w:p>
      <w:pPr>
        <w:spacing w:after="210" w:lineRule="auto"/>
      </w:pPr>
      <w:r>
        <w:rPr/>
        <w:t xml:space="preserve">We employed stratified spatial splitting: Training set 70% (n=1,585) from 6 stations, Validation set 20% (n=453) from same 6 stations held out temporally, and Test set 10% (n=227) exclusively from 2 unseen stations (MLB, SMI). This station-wise split tests generalization to new geographic locations, critical for operational deployment.</w:t>
      </w:r>
    </w:p>
    <w:p>
      <w:pPr>
        <w:spacing w:line="271" w:before="240" w:lineRule="auto"/>
      </w:pPr>
      <w:bookmarkStart w:id="15" w:name="bm_3_6_hierarchical_efficientnet_ff99f0"/>
      <w:r>
        <w:rPr>
          <w:b/>
          <w:sz w:val="33"/>
        </w:rPr>
        <w:t xml:space="preserve">3.6 Hierarchical EfficientNet-B0 Architecture</w:t>
      </w:r>
      <w:bookmarkEnd w:id="15"/>
    </w:p>
    <w:p>
      <w:pPr>
        <w:spacing w:after="210" w:lineRule="auto"/>
      </w:pPr>
      <w:r>
        <w:rPr>
          <w:rFonts w:eastAsia="Georgia" w:cs="Georgia" w:ascii="Georgia" w:hAnsi="Georgia"/>
        </w:rPr>
        <w:t xml:space="preserve">Traditional multi-class CNN architectures treat all output classes symmetrically. Our hierarchical architecture addresses earthquake-specific challenges through two-stage decision process with specialized loss functions. The feature extraction backbone employs EfficientNet-B0 with Mobile Inverted Bottleneck (MBConv) blocks (input resolution: 224×224×3, total parameters: 5.3M). Weights were initialized with ImageNet pretraining, then fine-tuned on geomagnetic spectrograms. The final convolutional layer produces 1280 feature maps globally average pooled and projected to 256-dimensional shared latent space through dense layer with Dropout (p=0.3).</w:t>
      </w:r>
    </w:p>
    <w:p>
      <w:pPr>
        <w:spacing w:after="210" w:lineRule="auto"/>
      </w:pPr>
      <w:r>
        <w:rPr/>
        <w:t xml:space="preserve">The shared latent representation feeds three parallel classification heads:</w:t>
      </w:r>
    </w:p>
    <w:p>
      <w:pPr>
        <w:numPr>
          <w:ilvl w:val="0"/>
          <w:numId w:val="2"/>
        </w:numPr>
        <w:spacing w:lineRule="auto"/>
      </w:pPr>
      <w:r>
        <w:rPr>
          <w:rFonts w:eastAsia="Georgia" w:cs="Georgia" w:ascii="Georgia" w:hAnsi="Georgia"/>
        </w:rPr>
        <w:t xml:space="preserve">Binary Head: Dense layer 256 → 128 → 2 units (Normal vs. Precursor), binary cross-entropy loss with class weights</w:t>
      </w:r>
    </w:p>
    <w:p>
      <w:pPr>
        <w:numPr>
          <w:ilvl w:val="0"/>
          <w:numId w:val="2"/>
        </w:numPr>
        <w:spacing w:lineRule="auto"/>
      </w:pPr>
      <w:r>
        <w:rPr>
          <w:rFonts w:eastAsia="Georgia" w:cs="Georgia" w:ascii="Georgia" w:hAnsi="Georgia"/>
        </w:rPr>
        <w:t xml:space="preserve">Magnitude Head: Dense layer 256 → 128 → 4 units (Normal, Moderate, Medium, Large), focal loss (γ=2) to prioritize rare Large events</w:t>
      </w:r>
    </w:p>
    <w:p>
      <w:pPr>
        <w:numPr>
          <w:ilvl w:val="0"/>
          <w:numId w:val="2"/>
        </w:numPr>
        <w:spacing w:lineRule="auto"/>
      </w:pPr>
      <w:r>
        <w:rPr>
          <w:rFonts w:eastAsia="Georgia" w:cs="Georgia" w:ascii="Georgia" w:hAnsi="Georgia"/>
        </w:rPr>
        <w:t xml:space="preserve">Azimuth Head: Dense layer 256 → 64 → 9 units (8 compass directions + Unknown) for epicentral direction</w:t>
      </w:r>
    </w:p>
    <w:p>
      <w:pPr>
        <w:spacing w:after="210" w:lineRule="auto"/>
      </w:pPr>
      <w:r>
        <w:rPr>
          <w:rFonts w:eastAsia="Georgia" w:cs="Georgia" w:ascii="Georgia" w:hAnsi="Georgia"/>
        </w:rPr>
        <w:t xml:space="preserve">The overall loss function combines all three heads: L_total = λ_B L_binary + λ_M L_magnitude + λ_A L_azimuth, where λ_B=1.0, λ_M=0.8, λ_A=0.3. The magnitude loss employs focal loss with class-specific weights α_Large=3.0 to emphasize catastrophic events.</w:t>
      </w:r>
    </w:p>
    <w:p>
      <w:pPr>
        <w:spacing w:line="271" w:before="240" w:lineRule="auto"/>
      </w:pPr>
      <w:bookmarkStart w:id="16" w:name="bm_3_7_training_configuration"/>
      <w:r>
        <w:rPr>
          <w:b/>
          <w:sz w:val="33"/>
        </w:rPr>
        <w:t xml:space="preserve">3.7 Training Configuration</w:t>
      </w:r>
      <w:bookmarkEnd w:id="16"/>
    </w:p>
    <w:p>
      <w:pPr>
        <w:spacing w:after="210" w:lineRule="auto"/>
      </w:pPr>
      <w:r>
        <w:rPr>
          <w:rFonts w:eastAsia="Georgia" w:cs="Georgia" w:ascii="Georgia" w:hAnsi="Georgia"/>
        </w:rPr>
        <w:t xml:space="preserve">Optimizer: AdamW with weight decay (λ=1e-4). Learning rate: Initial lr=1e-4 with ReduceLROnPlateau scheduler (factor=0.5, patience=3 epochs). Batch size: 32. Epochs: 15 with early stopping (patience=5 epochs on validation F1-score). Gradient clipping: Max norm = 1.0. Implementation: PyTorch 2.0 on NVIDIA RTX 3090. Training converged after 13 epochs (approximately 8.5 hours), with best validation performance at epoch 11.</w:t>
      </w:r>
    </w:p>
    <w:p>
      <w:pPr>
        <w:spacing w:line="271" w:before="240" w:lineRule="auto"/>
      </w:pPr>
      <w:bookmarkStart w:id="17" w:name="bm_3_8_evaluation_metrics"/>
      <w:r>
        <w:rPr>
          <w:b/>
          <w:sz w:val="33"/>
        </w:rPr>
        <w:t xml:space="preserve">3.8 Evaluation Metrics</w:t>
      </w:r>
      <w:bookmarkEnd w:id="17"/>
    </w:p>
    <w:p>
      <w:pPr>
        <w:spacing w:after="210" w:lineRule="auto"/>
      </w:pPr>
      <w:r>
        <w:rPr/>
        <w:t xml:space="preserve">Given the critical nature of earthquake early warning, we prioritize recall (sensitivity) over precision for Large magnitude events. Key metrics include: Recall (TP/(TP+FN)), Precision (TP/(TP+FP)), F1-Score (harmonic mean), and Specificity (TN/(TN+FP)). All metrics are computed on held-out test set (n=227) from unseen stations.</w:t>
      </w:r>
    </w:p>
    <w:p>
      <w:pPr>
        <w:spacing w:line="271" w:before="240" w:lineRule="auto"/>
      </w:pPr>
      <w:bookmarkStart w:id="18" w:name="bm_4_results"/>
      <w:r>
        <w:rPr>
          <w:b/>
          <w:sz w:val="42"/>
        </w:rPr>
        <w:t xml:space="preserve">4. Results</w:t>
      </w:r>
      <w:bookmarkEnd w:id="18"/>
    </w:p>
    <w:p>
      <w:pPr>
        <w:spacing w:line="271" w:before="240" w:lineRule="auto"/>
      </w:pPr>
      <w:bookmarkStart w:id="19" w:name="bm_4_1_binary_classification_performance"/>
      <w:r>
        <w:rPr>
          <w:b/>
          <w:sz w:val="33"/>
        </w:rPr>
        <w:t xml:space="preserve">4.1 Binary Classification Performance</w:t>
      </w:r>
      <w:bookmarkEnd w:id="19"/>
    </w:p>
    <w:p>
      <w:pPr>
        <w:spacing w:after="210" w:lineRule="auto"/>
      </w:pPr>
      <w:r>
        <w:rPr>
          <w:rFonts w:eastAsia="Georgia" w:cs="Georgia" w:ascii="Georgia" w:hAnsi="Georgia"/>
        </w:rPr>
        <w:t xml:space="preserve">The Binary head achieved strong performance in distinguishing geomagnetic quiet periods from precursor anomalies. Overall accuracy reached 89.0% with Precursor recall 93.8% and Normal recall 86.0%, representing 17.1 percentage point improvement over VGG16 baseline. The 86.0% Normal recall demonstrates successful discrimination of solar noise from genuine earthquake precursors even during high-flux 2024–2025 solar maximum.</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bottom w:val="single" w:sz="8" w:space="0" w:color="000000"/>
            </w:tcBorders>
            <w:vAlign w:val="center"/>
          </w:tcPr>
          <w:p>
            <w:pPr>
              <w:spacing w:lineRule="auto"/>
              <w:jc w:val="left"/>
            </w:pPr>
            <w:r>
              <w:rPr/>
              <w:t xml:space="preserve">Metric</w:t>
            </w:r>
          </w:p>
        </w:tc>
        <w:tc>
          <w:tcPr>
            <w:tcBorders>
              <w:top w:val="single" w:sz="8" w:space="0" w:color="000000"/>
              <w:bottom w:val="single" w:sz="8" w:space="0" w:color="000000"/>
            </w:tcBorders>
            <w:vAlign w:val="center"/>
          </w:tcPr>
          <w:p>
            <w:pPr>
              <w:spacing w:lineRule="auto"/>
              <w:jc w:val="center"/>
            </w:pPr>
            <w:r>
              <w:rPr/>
              <w:t xml:space="preserve">Phase 2.1</w:t>
            </w:r>
          </w:p>
        </w:tc>
        <w:tc>
          <w:tcPr>
            <w:tcBorders>
              <w:top w:val="single" w:sz="8" w:space="0" w:color="000000"/>
              <w:bottom w:val="single" w:sz="8" w:space="0" w:color="000000"/>
            </w:tcBorders>
            <w:vAlign w:val="center"/>
          </w:tcPr>
          <w:p>
            <w:pPr>
              <w:spacing w:lineRule="auto"/>
              <w:jc w:val="center"/>
            </w:pPr>
            <w:r>
              <w:rPr/>
              <w:t xml:space="preserve">Baseline VGG16</w:t>
            </w:r>
          </w:p>
        </w:tc>
        <w:tc>
          <w:tcPr>
            <w:tcBorders>
              <w:top w:val="single" w:sz="8" w:space="0" w:color="000000"/>
              <w:bottom w:val="single" w:sz="8" w:space="0" w:color="000000"/>
            </w:tcBorders>
            <w:vAlign w:val="center"/>
          </w:tcPr>
          <w:p>
            <w:pPr>
              <w:spacing w:lineRule="auto"/>
              <w:jc w:val="center"/>
            </w:pPr>
            <w:r>
              <w:rPr/>
              <w:t xml:space="preserve">Improvement</w:t>
            </w:r>
          </w:p>
        </w:tc>
      </w:tr>
      <w:tr>
        <w:trPr>
          <w:cantSplit/>
        </w:trPr>
        <w:tc>
          <w:tcPr>
            <w:tcBorders/>
            <w:vAlign w:val="center"/>
          </w:tcPr>
          <w:p>
            <w:pPr>
              <w:spacing w:lineRule="auto"/>
              <w:jc w:val="left"/>
            </w:pPr>
            <w:r>
              <w:rPr/>
              <w:t xml:space="preserve">Accuracy</w:t>
            </w:r>
          </w:p>
        </w:tc>
        <w:tc>
          <w:tcPr>
            <w:tcBorders/>
            <w:vAlign w:val="center"/>
          </w:tcPr>
          <w:p>
            <w:pPr>
              <w:spacing w:lineRule="auto"/>
              <w:jc w:val="center"/>
            </w:pPr>
            <w:r>
              <w:rPr/>
              <w:t xml:space="preserve">89.0%</w:t>
            </w:r>
          </w:p>
        </w:tc>
        <w:tc>
          <w:tcPr>
            <w:tcBorders/>
            <w:vAlign w:val="center"/>
          </w:tcPr>
          <w:p>
            <w:pPr>
              <w:spacing w:lineRule="auto"/>
              <w:jc w:val="center"/>
            </w:pPr>
            <w:r>
              <w:rPr/>
              <w:t xml:space="preserve">73.2%</w:t>
            </w:r>
          </w:p>
        </w:tc>
        <w:tc>
          <w:tcPr>
            <w:tcBorders/>
            <w:vAlign w:val="center"/>
          </w:tcPr>
          <w:p>
            <w:pPr>
              <w:spacing w:lineRule="auto"/>
              <w:jc w:val="center"/>
            </w:pPr>
            <w:r>
              <w:rPr/>
              <w:t xml:space="preserve">+15.8 pp</w:t>
            </w:r>
          </w:p>
        </w:tc>
      </w:tr>
      <w:tr>
        <w:trPr>
          <w:cantSplit/>
        </w:trPr>
        <w:tc>
          <w:tcPr>
            <w:tcBorders/>
            <w:vAlign w:val="center"/>
          </w:tcPr>
          <w:p>
            <w:pPr>
              <w:spacing w:lineRule="auto"/>
              <w:jc w:val="left"/>
            </w:pPr>
            <w:r>
              <w:rPr/>
              <w:t xml:space="preserve">Recall (Precursor)</w:t>
            </w:r>
          </w:p>
        </w:tc>
        <w:tc>
          <w:tcPr>
            <w:tcBorders/>
            <w:vAlign w:val="center"/>
          </w:tcPr>
          <w:p>
            <w:pPr>
              <w:spacing w:lineRule="auto"/>
              <w:jc w:val="center"/>
            </w:pPr>
            <w:r>
              <w:rPr/>
              <w:t xml:space="preserve">93.8%</w:t>
            </w:r>
          </w:p>
        </w:tc>
        <w:tc>
          <w:tcPr>
            <w:tcBorders/>
            <w:vAlign w:val="center"/>
          </w:tcPr>
          <w:p>
            <w:pPr>
              <w:spacing w:lineRule="auto"/>
              <w:jc w:val="center"/>
            </w:pPr>
            <w:r>
              <w:rPr/>
              <w:t xml:space="preserve">81.5%</w:t>
            </w:r>
          </w:p>
        </w:tc>
        <w:tc>
          <w:tcPr>
            <w:tcBorders/>
            <w:vAlign w:val="center"/>
          </w:tcPr>
          <w:p>
            <w:pPr>
              <w:spacing w:lineRule="auto"/>
              <w:jc w:val="center"/>
            </w:pPr>
            <w:r>
              <w:rPr/>
              <w:t xml:space="preserve">+12.3 pp</w:t>
            </w:r>
          </w:p>
        </w:tc>
      </w:tr>
      <w:tr>
        <w:trPr>
          <w:cantSplit/>
        </w:trPr>
        <w:tc>
          <w:tcPr>
            <w:tcBorders/>
            <w:vAlign w:val="center"/>
          </w:tcPr>
          <w:p>
            <w:pPr>
              <w:spacing w:lineRule="auto"/>
              <w:jc w:val="left"/>
            </w:pPr>
            <w:r>
              <w:rPr/>
              <w:t xml:space="preserve">Recall (Normal)</w:t>
            </w:r>
          </w:p>
        </w:tc>
        <w:tc>
          <w:tcPr>
            <w:tcBorders/>
            <w:vAlign w:val="center"/>
          </w:tcPr>
          <w:p>
            <w:pPr>
              <w:spacing w:lineRule="auto"/>
              <w:jc w:val="center"/>
            </w:pPr>
            <w:r>
              <w:rPr/>
              <w:t xml:space="preserve">86.0%</w:t>
            </w:r>
          </w:p>
        </w:tc>
        <w:tc>
          <w:tcPr>
            <w:tcBorders/>
            <w:vAlign w:val="center"/>
          </w:tcPr>
          <w:p>
            <w:pPr>
              <w:spacing w:lineRule="auto"/>
              <w:jc w:val="center"/>
            </w:pPr>
            <w:r>
              <w:rPr/>
              <w:t xml:space="preserve">68.9%</w:t>
            </w:r>
          </w:p>
        </w:tc>
        <w:tc>
          <w:tcPr>
            <w:tcBorders/>
            <w:vAlign w:val="center"/>
          </w:tcPr>
          <w:p>
            <w:pPr>
              <w:spacing w:lineRule="auto"/>
              <w:jc w:val="center"/>
            </w:pPr>
            <w:r>
              <w:rPr/>
              <w:t xml:space="preserve">+17.1 pp</w:t>
            </w:r>
          </w:p>
        </w:tc>
      </w:tr>
      <w:tr>
        <w:trPr>
          <w:cantSplit/>
        </w:trPr>
        <w:tc>
          <w:tcPr>
            <w:tcBorders/>
            <w:vAlign w:val="center"/>
          </w:tcPr>
          <w:p>
            <w:pPr>
              <w:spacing w:lineRule="auto"/>
              <w:jc w:val="left"/>
            </w:pPr>
            <w:r>
              <w:rPr/>
              <w:t xml:space="preserve">Precision</w:t>
            </w:r>
          </w:p>
        </w:tc>
        <w:tc>
          <w:tcPr>
            <w:tcBorders/>
            <w:vAlign w:val="center"/>
          </w:tcPr>
          <w:p>
            <w:pPr>
              <w:spacing w:lineRule="auto"/>
              <w:jc w:val="center"/>
            </w:pPr>
            <w:r>
              <w:rPr/>
              <w:t xml:space="preserve">84.2%</w:t>
            </w:r>
          </w:p>
        </w:tc>
        <w:tc>
          <w:tcPr>
            <w:tcBorders/>
            <w:vAlign w:val="center"/>
          </w:tcPr>
          <w:p>
            <w:pPr>
              <w:spacing w:lineRule="auto"/>
              <w:jc w:val="center"/>
            </w:pPr>
            <w:r>
              <w:rPr/>
              <w:t xml:space="preserve">75.1%</w:t>
            </w:r>
          </w:p>
        </w:tc>
        <w:tc>
          <w:tcPr>
            <w:tcBorders/>
            <w:vAlign w:val="center"/>
          </w:tcPr>
          <w:p>
            <w:pPr>
              <w:spacing w:lineRule="auto"/>
              <w:jc w:val="center"/>
            </w:pPr>
            <w:r>
              <w:rPr/>
              <w:t xml:space="preserve">+9.1 pp</w:t>
            </w:r>
          </w:p>
        </w:tc>
      </w:tr>
      <w:tr>
        <w:trPr>
          <w:cantSplit/>
        </w:trPr>
        <w:tc>
          <w:tcPr>
            <w:tcBorders>
              <w:bottom w:val="single" w:sz="8" w:space="0" w:color="000000"/>
            </w:tcBorders>
            <w:vAlign w:val="center"/>
          </w:tcPr>
          <w:p>
            <w:pPr>
              <w:spacing w:lineRule="auto"/>
              <w:jc w:val="left"/>
            </w:pPr>
            <w:r>
              <w:rPr/>
              <w:t xml:space="preserve">F1-Score</w:t>
            </w:r>
          </w:p>
        </w:tc>
        <w:tc>
          <w:tcPr>
            <w:tcBorders>
              <w:bottom w:val="single" w:sz="8" w:space="0" w:color="000000"/>
            </w:tcBorders>
            <w:vAlign w:val="center"/>
          </w:tcPr>
          <w:p>
            <w:pPr>
              <w:spacing w:lineRule="auto"/>
              <w:jc w:val="center"/>
            </w:pPr>
            <w:r>
              <w:rPr/>
              <w:t xml:space="preserve">88.7%</w:t>
            </w:r>
          </w:p>
        </w:tc>
        <w:tc>
          <w:tcPr>
            <w:tcBorders>
              <w:bottom w:val="single" w:sz="8" w:space="0" w:color="000000"/>
            </w:tcBorders>
            <w:vAlign w:val="center"/>
          </w:tcPr>
          <w:p>
            <w:pPr>
              <w:spacing w:lineRule="auto"/>
              <w:jc w:val="center"/>
            </w:pPr>
            <w:r>
              <w:rPr/>
              <w:t xml:space="preserve">78.2%</w:t>
            </w:r>
          </w:p>
        </w:tc>
        <w:tc>
          <w:tcPr>
            <w:tcBorders>
              <w:bottom w:val="single" w:sz="8" w:space="0" w:color="000000"/>
            </w:tcBorders>
            <w:vAlign w:val="center"/>
          </w:tcPr>
          <w:p>
            <w:pPr>
              <w:spacing w:lineRule="auto"/>
              <w:jc w:val="center"/>
            </w:pPr>
            <w:r>
              <w:rPr/>
              <w:t xml:space="preserve">+10.5 pp</w:t>
            </w:r>
          </w:p>
        </w:tc>
      </w:tr>
    </w:tbl>
    <w:p>
      <w:pPr>
        <w:spacing w:lineRule="auto"/>
      </w:pPr>
    </w:p>
    <w:p>
      <w:pPr>
        <w:spacing w:lineRule="auto"/>
      </w:pPr>
      <w:r>
        <w:rPr/>
        <w:t xml:space="preserve">Table 2: Binary classification performance comparison showing substantial improvement over standard VGG16 baseline, particularly in Normal class recall indicating successful solar bias mitigation.</w:t>
      </w:r>
    </w:p>
    <w:p>
      <w:pPr>
        <w:spacing w:line="271" w:before="240" w:lineRule="auto"/>
      </w:pPr>
      <w:bookmarkStart w:id="20" w:name="bm_4_2_magnitude_specific_classif_a8a4a8"/>
      <w:r>
        <w:rPr>
          <w:b/>
          <w:sz w:val="33"/>
        </w:rPr>
        <w:t xml:space="preserve">4.2 Magnitude-Specific Classification Performance</w:t>
      </w:r>
      <w:bookmarkEnd w:id="20"/>
    </w:p>
    <w:p>
      <w:pPr>
        <w:spacing w:after="210" w:lineRule="auto"/>
      </w:pPr>
      <w:r>
        <w:rPr/>
        <w:t xml:space="preserve">The Magnitude head achieved exceptional performance for Large events: the model detected all 45 Large magnitude events in the test set with zero false positives (100% recall, 100% precision, 100% F1-score). This perfect performance establishes the system as a reliable "disaster lock" for catastrophic earthquakes. Moderate and Medium events showed lower sensitivity (Moderate: 12.0% recall, Medium: 12.5% recall), reflecting challenge of distinguishing low-magnitude precursors from background noise. Overall accuracy was 62.1% with weighted average F1-score 0.564.</w:t>
      </w:r>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bottom w:val="single" w:sz="8" w:space="0" w:color="000000"/>
            </w:tcBorders>
            <w:vAlign w:val="center"/>
          </w:tcPr>
          <w:p>
            <w:pPr>
              <w:spacing w:lineRule="auto"/>
              <w:jc w:val="left"/>
            </w:pPr>
            <w:r>
              <w:rPr/>
              <w:t xml:space="preserve">Class</w:t>
            </w:r>
          </w:p>
        </w:tc>
        <w:tc>
          <w:tcPr>
            <w:tcBorders>
              <w:top w:val="single" w:sz="8" w:space="0" w:color="000000"/>
              <w:bottom w:val="single" w:sz="8" w:space="0" w:color="000000"/>
            </w:tcBorders>
            <w:vAlign w:val="center"/>
          </w:tcPr>
          <w:p>
            <w:pPr>
              <w:spacing w:lineRule="auto"/>
              <w:jc w:val="center"/>
            </w:pPr>
            <w:r>
              <w:rPr/>
              <w:t xml:space="preserve">Precision</w:t>
            </w:r>
          </w:p>
        </w:tc>
        <w:tc>
          <w:tcPr>
            <w:tcBorders>
              <w:top w:val="single" w:sz="8" w:space="0" w:color="000000"/>
              <w:bottom w:val="single" w:sz="8" w:space="0" w:color="000000"/>
            </w:tcBorders>
            <w:vAlign w:val="center"/>
          </w:tcPr>
          <w:p>
            <w:pPr>
              <w:spacing w:lineRule="auto"/>
              <w:jc w:val="center"/>
            </w:pPr>
            <w:r>
              <w:rPr/>
              <w:t xml:space="preserve">Recall</w:t>
            </w:r>
          </w:p>
        </w:tc>
        <w:tc>
          <w:tcPr>
            <w:tcBorders>
              <w:top w:val="single" w:sz="8" w:space="0" w:color="000000"/>
              <w:bottom w:val="single" w:sz="8" w:space="0" w:color="000000"/>
            </w:tcBorders>
            <w:vAlign w:val="center"/>
          </w:tcPr>
          <w:p>
            <w:pPr>
              <w:spacing w:lineRule="auto"/>
              <w:jc w:val="center"/>
            </w:pPr>
            <w:r>
              <w:rPr/>
              <w:t xml:space="preserve">F1-Score</w:t>
            </w:r>
          </w:p>
        </w:tc>
        <w:tc>
          <w:tcPr>
            <w:tcBorders>
              <w:top w:val="single" w:sz="8" w:space="0" w:color="000000"/>
              <w:bottom w:val="single" w:sz="8" w:space="0" w:color="000000"/>
            </w:tcBorders>
            <w:vAlign w:val="center"/>
          </w:tcPr>
          <w:p>
            <w:pPr>
              <w:spacing w:lineRule="auto"/>
              <w:jc w:val="center"/>
            </w:pPr>
            <w:r>
              <w:rPr/>
              <w:t xml:space="preserve">Support</w:t>
            </w:r>
          </w:p>
        </w:tc>
      </w:tr>
      <w:tr>
        <w:trPr>
          <w:cantSplit/>
        </w:trPr>
        <w:tc>
          <w:tcPr>
            <w:tcBorders/>
            <w:vAlign w:val="center"/>
          </w:tcPr>
          <w:p>
            <w:pPr>
              <w:spacing w:lineRule="auto"/>
              <w:jc w:val="left"/>
            </w:pPr>
            <w:r>
              <w:rPr/>
              <w:t xml:space="preserve">Normal (Quiet)</w:t>
            </w:r>
          </w:p>
        </w:tc>
        <w:tc>
          <w:tcPr>
            <w:tcBorders/>
            <w:vAlign w:val="center"/>
          </w:tcPr>
          <w:p>
            <w:pPr>
              <w:spacing w:lineRule="auto"/>
              <w:jc w:val="center"/>
            </w:pPr>
            <w:r>
              <w:rPr/>
              <w:t xml:space="preserve">0.566</w:t>
            </w:r>
          </w:p>
        </w:tc>
        <w:tc>
          <w:tcPr>
            <w:tcBorders/>
            <w:vAlign w:val="center"/>
          </w:tcPr>
          <w:p>
            <w:pPr>
              <w:spacing w:lineRule="auto"/>
              <w:jc w:val="center"/>
            </w:pPr>
            <w:r>
              <w:rPr/>
              <w:t xml:space="preserve">0.860</w:t>
            </w:r>
          </w:p>
        </w:tc>
        <w:tc>
          <w:tcPr>
            <w:tcBorders/>
            <w:vAlign w:val="center"/>
          </w:tcPr>
          <w:p>
            <w:pPr>
              <w:spacing w:lineRule="auto"/>
              <w:jc w:val="center"/>
            </w:pPr>
            <w:r>
              <w:rPr/>
              <w:t xml:space="preserve">0.683</w:t>
            </w:r>
          </w:p>
        </w:tc>
        <w:tc>
          <w:tcPr>
            <w:tcBorders/>
            <w:vAlign w:val="center"/>
          </w:tcPr>
          <w:p>
            <w:pPr>
              <w:spacing w:lineRule="auto"/>
              <w:jc w:val="center"/>
            </w:pPr>
            <w:r>
              <w:rPr/>
              <w:t xml:space="preserve">100</w:t>
            </w:r>
          </w:p>
        </w:tc>
      </w:tr>
      <w:tr>
        <w:trPr>
          <w:cantSplit/>
        </w:trPr>
        <w:tc>
          <w:tcPr>
            <w:tcBorders/>
            <w:vAlign w:val="center"/>
          </w:tcPr>
          <w:p>
            <w:pPr>
              <w:spacing w:lineRule="auto"/>
              <w:jc w:val="left"/>
            </w:pPr>
            <w:r>
              <w:rPr>
                <w:rFonts w:eastAsia="Georgia" w:cs="Georgia" w:ascii="Georgia" w:hAnsi="Georgia"/>
              </w:rPr>
              <w:t xml:space="preserve">Moderate (M4.5–4.9)</w:t>
            </w:r>
          </w:p>
        </w:tc>
        <w:tc>
          <w:tcPr>
            <w:tcBorders/>
            <w:vAlign w:val="center"/>
          </w:tcPr>
          <w:p>
            <w:pPr>
              <w:spacing w:lineRule="auto"/>
              <w:jc w:val="center"/>
            </w:pPr>
            <w:r>
              <w:rPr/>
              <w:t xml:space="preserve">0.286</w:t>
            </w:r>
          </w:p>
        </w:tc>
        <w:tc>
          <w:tcPr>
            <w:tcBorders/>
            <w:vAlign w:val="center"/>
          </w:tcPr>
          <w:p>
            <w:pPr>
              <w:spacing w:lineRule="auto"/>
              <w:jc w:val="center"/>
            </w:pPr>
            <w:r>
              <w:rPr/>
              <w:t xml:space="preserve">0.120</w:t>
            </w:r>
          </w:p>
        </w:tc>
        <w:tc>
          <w:tcPr>
            <w:tcBorders/>
            <w:vAlign w:val="center"/>
          </w:tcPr>
          <w:p>
            <w:pPr>
              <w:spacing w:lineRule="auto"/>
              <w:jc w:val="center"/>
            </w:pPr>
            <w:r>
              <w:rPr/>
              <w:t xml:space="preserve">0.169</w:t>
            </w:r>
          </w:p>
        </w:tc>
        <w:tc>
          <w:tcPr>
            <w:tcBorders/>
            <w:vAlign w:val="center"/>
          </w:tcPr>
          <w:p>
            <w:pPr>
              <w:spacing w:lineRule="auto"/>
              <w:jc w:val="center"/>
            </w:pPr>
            <w:r>
              <w:rPr/>
              <w:t xml:space="preserve">50</w:t>
            </w:r>
          </w:p>
        </w:tc>
      </w:tr>
      <w:tr>
        <w:trPr>
          <w:cantSplit/>
        </w:trPr>
        <w:tc>
          <w:tcPr>
            <w:tcBorders/>
            <w:vAlign w:val="center"/>
          </w:tcPr>
          <w:p>
            <w:pPr>
              <w:spacing w:lineRule="auto"/>
              <w:jc w:val="left"/>
            </w:pPr>
            <w:r>
              <w:rPr>
                <w:rFonts w:eastAsia="Georgia" w:cs="Georgia" w:ascii="Georgia" w:hAnsi="Georgia"/>
              </w:rPr>
              <w:t xml:space="preserve">Medium (M5.0–5.9)</w:t>
            </w:r>
          </w:p>
        </w:tc>
        <w:tc>
          <w:tcPr>
            <w:tcBorders/>
            <w:vAlign w:val="center"/>
          </w:tcPr>
          <w:p>
            <w:pPr>
              <w:spacing w:lineRule="auto"/>
              <w:jc w:val="center"/>
            </w:pPr>
            <w:r>
              <w:rPr/>
              <w:t xml:space="preserve">0.444</w:t>
            </w:r>
          </w:p>
        </w:tc>
        <w:tc>
          <w:tcPr>
            <w:tcBorders/>
            <w:vAlign w:val="center"/>
          </w:tcPr>
          <w:p>
            <w:pPr>
              <w:spacing w:lineRule="auto"/>
              <w:jc w:val="center"/>
            </w:pPr>
            <w:r>
              <w:rPr/>
              <w:t xml:space="preserve">0.125</w:t>
            </w:r>
          </w:p>
        </w:tc>
        <w:tc>
          <w:tcPr>
            <w:tcBorders/>
            <w:vAlign w:val="center"/>
          </w:tcPr>
          <w:p>
            <w:pPr>
              <w:spacing w:lineRule="auto"/>
              <w:jc w:val="center"/>
            </w:pPr>
            <w:r>
              <w:rPr/>
              <w:t xml:space="preserve">0.195</w:t>
            </w:r>
          </w:p>
        </w:tc>
        <w:tc>
          <w:tcPr>
            <w:tcBorders/>
            <w:vAlign w:val="center"/>
          </w:tcPr>
          <w:p>
            <w:pPr>
              <w:spacing w:lineRule="auto"/>
              <w:jc w:val="center"/>
            </w:pPr>
            <w:r>
              <w:rPr/>
              <w:t xml:space="preserve">32</w:t>
            </w:r>
          </w:p>
        </w:tc>
      </w:tr>
      <w:tr>
        <w:trPr>
          <w:cantSplit/>
        </w:trPr>
        <w:tc>
          <w:tcPr>
            <w:tcBorders>
              <w:bottom w:val="single" w:sz="8" w:space="0" w:color="000000"/>
            </w:tcBorders>
            <w:vAlign w:val="center"/>
          </w:tcPr>
          <w:p>
            <w:pPr>
              <w:spacing w:lineRule="auto"/>
              <w:jc w:val="left"/>
            </w:pPr>
            <w:r>
              <w:rPr>
                <w:rFonts w:eastAsia="Georgia" w:cs="Georgia" w:ascii="Georgia" w:hAnsi="Georgia"/>
              </w:rPr>
              <w:t xml:space="preserve">Large (M≥6.0)</w:t>
            </w:r>
          </w:p>
        </w:tc>
        <w:tc>
          <w:tcPr>
            <w:tcBorders>
              <w:bottom w:val="single" w:sz="8" w:space="0" w:color="000000"/>
            </w:tcBorders>
            <w:vAlign w:val="center"/>
          </w:tcPr>
          <w:p>
            <w:pPr>
              <w:spacing w:lineRule="auto"/>
              <w:jc w:val="center"/>
            </w:pPr>
            <w:r>
              <w:rPr/>
              <w:t xml:space="preserve">1.000</w:t>
            </w:r>
          </w:p>
        </w:tc>
        <w:tc>
          <w:tcPr>
            <w:tcBorders>
              <w:bottom w:val="single" w:sz="8" w:space="0" w:color="000000"/>
            </w:tcBorders>
            <w:vAlign w:val="center"/>
          </w:tcPr>
          <w:p>
            <w:pPr>
              <w:spacing w:lineRule="auto"/>
              <w:jc w:val="center"/>
            </w:pPr>
            <w:r>
              <w:rPr/>
              <w:t xml:space="preserve">1.000</w:t>
            </w:r>
          </w:p>
        </w:tc>
        <w:tc>
          <w:tcPr>
            <w:tcBorders>
              <w:bottom w:val="single" w:sz="8" w:space="0" w:color="000000"/>
            </w:tcBorders>
            <w:vAlign w:val="center"/>
          </w:tcPr>
          <w:p>
            <w:pPr>
              <w:spacing w:lineRule="auto"/>
              <w:jc w:val="center"/>
            </w:pPr>
            <w:r>
              <w:rPr/>
              <w:t xml:space="preserve">1.000</w:t>
            </w:r>
          </w:p>
        </w:tc>
        <w:tc>
          <w:tcPr>
            <w:tcBorders>
              <w:bottom w:val="single" w:sz="8" w:space="0" w:color="000000"/>
            </w:tcBorders>
            <w:vAlign w:val="center"/>
          </w:tcPr>
          <w:p>
            <w:pPr>
              <w:spacing w:lineRule="auto"/>
              <w:jc w:val="center"/>
            </w:pPr>
            <w:r>
              <w:rPr/>
              <w:t xml:space="preserve">45</w:t>
            </w:r>
          </w:p>
        </w:tc>
      </w:tr>
      <w:tr>
        <w:trPr>
          <w:cantSplit/>
        </w:trPr>
        <w:tc>
          <w:tcPr>
            <w:tcBorders/>
            <w:vAlign w:val="center"/>
          </w:tcPr>
          <w:p>
            <w:pPr>
              <w:spacing w:lineRule="auto"/>
              <w:jc w:val="left"/>
            </w:pPr>
            <w:r>
              <w:rPr/>
              <w:t xml:space="preserve">Overall Accuracy</w:t>
            </w:r>
          </w:p>
        </w:tc>
        <w:tc>
          <w:tcPr>
            <w:gridSpan w:val="4"/>
            <w:tcBorders/>
          </w:tcPr>
          <w:p>
            <w:pPr>
              <w:spacing w:lineRule="auto"/>
              <w:jc w:val="center"/>
            </w:pPr>
            <w:r>
              <w:rPr/>
              <w:t xml:space="preserve">62.1%</w:t>
            </w:r>
          </w:p>
        </w:tc>
      </w:tr>
      <w:tr>
        <w:trPr>
          <w:cantSplit/>
        </w:trPr>
        <w:tc>
          <w:tcPr>
            <w:tcBorders>
              <w:bottom w:val="single" w:sz="8" w:space="0" w:color="000000"/>
            </w:tcBorders>
            <w:vAlign w:val="center"/>
          </w:tcPr>
          <w:p>
            <w:pPr>
              <w:spacing w:lineRule="auto"/>
              <w:jc w:val="left"/>
            </w:pPr>
            <w:r>
              <w:rPr/>
              <w:t xml:space="preserve">Weighted Avg F1</w:t>
            </w:r>
          </w:p>
        </w:tc>
        <w:tc>
          <w:tcPr>
            <w:gridSpan w:val="4"/>
            <w:tcBorders>
              <w:bottom w:val="single" w:sz="8" w:space="0" w:color="000000"/>
            </w:tcBorders>
          </w:tcPr>
          <w:p>
            <w:pPr>
              <w:spacing w:lineRule="auto"/>
              <w:jc w:val="center"/>
            </w:pPr>
            <w:r>
              <w:rPr/>
              <w:t xml:space="preserve">0.564</w:t>
            </w:r>
          </w:p>
        </w:tc>
      </w:tr>
    </w:tbl>
    <w:p>
      <w:pPr>
        <w:spacing w:lineRule="auto"/>
      </w:pPr>
    </w:p>
    <w:p>
      <w:pPr>
        <w:spacing w:lineRule="auto"/>
      </w:pPr>
      <w:r>
        <w:rPr>
          <w:rFonts w:eastAsia="Georgia" w:cs="Georgia" w:ascii="Georgia" w:hAnsi="Georgia"/>
        </w:rPr>
        <w:t xml:space="preserve">Table 3: Magnitude-specific classification performance demonstrating perfect performance for Large events (M≥6.0) while showing expected limitations for smaller magnitude classes, consistent with hierarchical design strategy.</w:t>
      </w:r>
    </w:p>
    <w:p>
      <w:pPr>
        <w:spacing w:line="271" w:before="240" w:lineRule="auto"/>
      </w:pPr>
      <w:bookmarkStart w:id="21" w:name="bm_4_3_benchmark_comparison"/>
      <w:r>
        <w:rPr>
          <w:b/>
          <w:sz w:val="33"/>
        </w:rPr>
        <w:t xml:space="preserve">4.3 Benchmark Comparison</w:t>
      </w:r>
      <w:bookmarkEnd w:id="21"/>
    </w:p>
    <w:p>
      <w:pPr>
        <w:spacing w:after="210" w:lineRule="auto"/>
      </w:pPr>
      <w:r>
        <w:rPr>
          <w:rFonts w:eastAsia="Georgia" w:cs="Georgia" w:ascii="Georgia" w:hAnsi="Georgia"/>
        </w:rPr>
        <w:t xml:space="preserve">Compared to standard CNN architectures trained on the same dataset, the hierarchical EfficientNet-B0 achieved perfect Large event detection despite having 4–20× fewer parameters. VGG16 baseline achieved 70.2% recall for Large events, ResNet50 75.8%, and ConvNeXt-Tiny 82.1%, all substantially lower than our 100.0%.</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bottom w:val="single" w:sz="8" w:space="0" w:color="000000"/>
            </w:tcBorders>
            <w:vAlign w:val="center"/>
          </w:tcPr>
          <w:p>
            <w:pPr>
              <w:spacing w:lineRule="auto"/>
              <w:jc w:val="left"/>
            </w:pPr>
            <w:r>
              <w:rPr/>
              <w:t xml:space="preserve">Model</w:t>
            </w:r>
          </w:p>
        </w:tc>
        <w:tc>
          <w:tcPr>
            <w:tcBorders>
              <w:top w:val="single" w:sz="8" w:space="0" w:color="000000"/>
              <w:bottom w:val="single" w:sz="8" w:space="0" w:color="000000"/>
            </w:tcBorders>
            <w:vAlign w:val="center"/>
          </w:tcPr>
          <w:p>
            <w:pPr>
              <w:spacing w:lineRule="auto"/>
              <w:jc w:val="center"/>
            </w:pPr>
            <w:r>
              <w:rPr/>
              <w:t xml:space="preserve">Parameters</w:t>
            </w:r>
          </w:p>
        </w:tc>
        <w:tc>
          <w:tcPr>
            <w:tcBorders>
              <w:top w:val="single" w:sz="8" w:space="0" w:color="000000"/>
              <w:bottom w:val="single" w:sz="8" w:space="0" w:color="000000"/>
            </w:tcBorders>
            <w:vAlign w:val="center"/>
          </w:tcPr>
          <w:p>
            <w:pPr>
              <w:spacing w:lineRule="auto"/>
              <w:jc w:val="center"/>
            </w:pPr>
            <w:r>
              <w:rPr/>
              <w:t xml:space="preserve">Recall (Large)</w:t>
            </w:r>
          </w:p>
        </w:tc>
        <w:tc>
          <w:tcPr>
            <w:tcBorders>
              <w:top w:val="single" w:sz="8" w:space="0" w:color="000000"/>
              <w:bottom w:val="single" w:sz="8" w:space="0" w:color="000000"/>
            </w:tcBorders>
            <w:vAlign w:val="center"/>
          </w:tcPr>
          <w:p>
            <w:pPr>
              <w:spacing w:lineRule="auto"/>
              <w:jc w:val="center"/>
            </w:pPr>
            <w:r>
              <w:rPr/>
              <w:t xml:space="preserve">Precision (Large)</w:t>
            </w:r>
          </w:p>
        </w:tc>
        <w:tc>
          <w:tcPr>
            <w:tcBorders>
              <w:top w:val="single" w:sz="8" w:space="0" w:color="000000"/>
              <w:bottom w:val="single" w:sz="8" w:space="0" w:color="000000"/>
            </w:tcBorders>
            <w:vAlign w:val="center"/>
          </w:tcPr>
          <w:p>
            <w:pPr>
              <w:spacing w:lineRule="auto"/>
              <w:jc w:val="center"/>
            </w:pPr>
            <w:r>
              <w:rPr/>
              <w:t xml:space="preserve">F1 (Large)</w:t>
            </w:r>
          </w:p>
        </w:tc>
        <w:tc>
          <w:tcPr>
            <w:tcBorders>
              <w:top w:val="single" w:sz="8" w:space="0" w:color="000000"/>
              <w:bottom w:val="single" w:sz="8" w:space="0" w:color="000000"/>
            </w:tcBorders>
            <w:vAlign w:val="center"/>
          </w:tcPr>
          <w:p>
            <w:pPr>
              <w:spacing w:lineRule="auto"/>
              <w:jc w:val="center"/>
            </w:pPr>
            <w:r>
              <w:rPr/>
              <w:t xml:space="preserve">Overall Acc</w:t>
            </w:r>
          </w:p>
        </w:tc>
      </w:tr>
      <w:tr>
        <w:trPr>
          <w:cantSplit/>
        </w:trPr>
        <w:tc>
          <w:tcPr>
            <w:tcBorders/>
            <w:vAlign w:val="center"/>
          </w:tcPr>
          <w:p>
            <w:pPr>
              <w:spacing w:lineRule="auto"/>
              <w:jc w:val="left"/>
            </w:pPr>
            <w:r>
              <w:rPr/>
              <w:t xml:space="preserve">VGG16</w:t>
            </w:r>
          </w:p>
        </w:tc>
        <w:tc>
          <w:tcPr>
            <w:tcBorders/>
            <w:vAlign w:val="center"/>
          </w:tcPr>
          <w:p>
            <w:pPr>
              <w:spacing w:lineRule="auto"/>
              <w:jc w:val="center"/>
            </w:pPr>
            <w:r>
              <w:rPr/>
              <w:t xml:space="preserve">138M</w:t>
            </w:r>
          </w:p>
        </w:tc>
        <w:tc>
          <w:tcPr>
            <w:tcBorders/>
            <w:vAlign w:val="center"/>
          </w:tcPr>
          <w:p>
            <w:pPr>
              <w:spacing w:lineRule="auto"/>
              <w:jc w:val="center"/>
            </w:pPr>
            <w:r>
              <w:rPr/>
              <w:t xml:space="preserve">70.2%</w:t>
            </w:r>
          </w:p>
        </w:tc>
        <w:tc>
          <w:tcPr>
            <w:tcBorders/>
            <w:vAlign w:val="center"/>
          </w:tcPr>
          <w:p>
            <w:pPr>
              <w:spacing w:lineRule="auto"/>
              <w:jc w:val="center"/>
            </w:pPr>
            <w:r>
              <w:rPr/>
              <w:t xml:space="preserve">81.5%</w:t>
            </w:r>
          </w:p>
        </w:tc>
        <w:tc>
          <w:tcPr>
            <w:tcBorders/>
            <w:vAlign w:val="center"/>
          </w:tcPr>
          <w:p>
            <w:pPr>
              <w:spacing w:lineRule="auto"/>
              <w:jc w:val="center"/>
            </w:pPr>
            <w:r>
              <w:rPr/>
              <w:t xml:space="preserve">75.4%</w:t>
            </w:r>
          </w:p>
        </w:tc>
        <w:tc>
          <w:tcPr>
            <w:tcBorders/>
            <w:vAlign w:val="center"/>
          </w:tcPr>
          <w:p>
            <w:pPr>
              <w:spacing w:lineRule="auto"/>
              <w:jc w:val="center"/>
            </w:pPr>
            <w:r>
              <w:rPr/>
              <w:t xml:space="preserve">58.3%</w:t>
            </w:r>
          </w:p>
        </w:tc>
      </w:tr>
      <w:tr>
        <w:trPr>
          <w:cantSplit/>
        </w:trPr>
        <w:tc>
          <w:tcPr>
            <w:tcBorders/>
            <w:vAlign w:val="center"/>
          </w:tcPr>
          <w:p>
            <w:pPr>
              <w:spacing w:lineRule="auto"/>
              <w:jc w:val="left"/>
            </w:pPr>
            <w:r>
              <w:rPr/>
              <w:t xml:space="preserve">ResNet50</w:t>
            </w:r>
          </w:p>
        </w:tc>
        <w:tc>
          <w:tcPr>
            <w:tcBorders/>
            <w:vAlign w:val="center"/>
          </w:tcPr>
          <w:p>
            <w:pPr>
              <w:spacing w:lineRule="auto"/>
              <w:jc w:val="center"/>
            </w:pPr>
            <w:r>
              <w:rPr/>
              <w:t xml:space="preserve">25M</w:t>
            </w:r>
          </w:p>
        </w:tc>
        <w:tc>
          <w:tcPr>
            <w:tcBorders/>
            <w:vAlign w:val="center"/>
          </w:tcPr>
          <w:p>
            <w:pPr>
              <w:spacing w:lineRule="auto"/>
              <w:jc w:val="center"/>
            </w:pPr>
            <w:r>
              <w:rPr/>
              <w:t xml:space="preserve">75.8%</w:t>
            </w:r>
          </w:p>
        </w:tc>
        <w:tc>
          <w:tcPr>
            <w:tcBorders/>
            <w:vAlign w:val="center"/>
          </w:tcPr>
          <w:p>
            <w:pPr>
              <w:spacing w:lineRule="auto"/>
              <w:jc w:val="center"/>
            </w:pPr>
            <w:r>
              <w:rPr/>
              <w:t xml:space="preserve">87.2%</w:t>
            </w:r>
          </w:p>
        </w:tc>
        <w:tc>
          <w:tcPr>
            <w:tcBorders/>
            <w:vAlign w:val="center"/>
          </w:tcPr>
          <w:p>
            <w:pPr>
              <w:spacing w:lineRule="auto"/>
              <w:jc w:val="center"/>
            </w:pPr>
            <w:r>
              <w:rPr/>
              <w:t xml:space="preserve">81.1%</w:t>
            </w:r>
          </w:p>
        </w:tc>
        <w:tc>
          <w:tcPr>
            <w:tcBorders/>
            <w:vAlign w:val="center"/>
          </w:tcPr>
          <w:p>
            <w:pPr>
              <w:spacing w:lineRule="auto"/>
              <w:jc w:val="center"/>
            </w:pPr>
            <w:r>
              <w:rPr/>
              <w:t xml:space="preserve">61.7%</w:t>
            </w:r>
          </w:p>
        </w:tc>
      </w:tr>
      <w:tr>
        <w:trPr>
          <w:cantSplit/>
        </w:trPr>
        <w:tc>
          <w:tcPr>
            <w:tcBorders/>
            <w:vAlign w:val="center"/>
          </w:tcPr>
          <w:p>
            <w:pPr>
              <w:spacing w:lineRule="auto"/>
              <w:jc w:val="left"/>
            </w:pPr>
            <w:r>
              <w:rPr/>
              <w:t xml:space="preserve">ConvNeXt</w:t>
            </w:r>
          </w:p>
        </w:tc>
        <w:tc>
          <w:tcPr>
            <w:tcBorders/>
            <w:vAlign w:val="center"/>
          </w:tcPr>
          <w:p>
            <w:pPr>
              <w:spacing w:lineRule="auto"/>
              <w:jc w:val="center"/>
            </w:pPr>
            <w:r>
              <w:rPr/>
              <w:t xml:space="preserve">28M</w:t>
            </w:r>
          </w:p>
        </w:tc>
        <w:tc>
          <w:tcPr>
            <w:tcBorders/>
            <w:vAlign w:val="center"/>
          </w:tcPr>
          <w:p>
            <w:pPr>
              <w:spacing w:lineRule="auto"/>
              <w:jc w:val="center"/>
            </w:pPr>
            <w:r>
              <w:rPr/>
              <w:t xml:space="preserve">82.1%</w:t>
            </w:r>
          </w:p>
        </w:tc>
        <w:tc>
          <w:tcPr>
            <w:tcBorders/>
            <w:vAlign w:val="center"/>
          </w:tcPr>
          <w:p>
            <w:pPr>
              <w:spacing w:lineRule="auto"/>
              <w:jc w:val="center"/>
            </w:pPr>
            <w:r>
              <w:rPr/>
              <w:t xml:space="preserve">91.5%</w:t>
            </w:r>
          </w:p>
        </w:tc>
        <w:tc>
          <w:tcPr>
            <w:tcBorders/>
            <w:vAlign w:val="center"/>
          </w:tcPr>
          <w:p>
            <w:pPr>
              <w:spacing w:lineRule="auto"/>
              <w:jc w:val="center"/>
            </w:pPr>
            <w:r>
              <w:rPr/>
              <w:t xml:space="preserve">86.6%</w:t>
            </w:r>
          </w:p>
        </w:tc>
        <w:tc>
          <w:tcPr>
            <w:tcBorders/>
            <w:vAlign w:val="center"/>
          </w:tcPr>
          <w:p>
            <w:pPr>
              <w:spacing w:lineRule="auto"/>
              <w:jc w:val="center"/>
            </w:pPr>
            <w:r>
              <w:rPr/>
              <w:t xml:space="preserve">65.9%</w:t>
            </w:r>
          </w:p>
        </w:tc>
      </w:tr>
      <w:tr>
        <w:trPr>
          <w:cantSplit/>
        </w:trPr>
        <w:tc>
          <w:tcPr>
            <w:tcBorders>
              <w:bottom w:val="single" w:sz="8" w:space="0" w:color="000000"/>
            </w:tcBorders>
            <w:vAlign w:val="center"/>
          </w:tcPr>
          <w:p>
            <w:pPr>
              <w:spacing w:lineRule="auto"/>
              <w:jc w:val="left"/>
            </w:pPr>
            <w:r>
              <w:rPr/>
              <w:t xml:space="preserve">Hierarchical EfficientNet-B0</w:t>
            </w:r>
          </w:p>
        </w:tc>
        <w:tc>
          <w:tcPr>
            <w:tcBorders>
              <w:bottom w:val="single" w:sz="8" w:space="0" w:color="000000"/>
            </w:tcBorders>
            <w:vAlign w:val="center"/>
          </w:tcPr>
          <w:p>
            <w:pPr>
              <w:spacing w:lineRule="auto"/>
              <w:jc w:val="center"/>
            </w:pPr>
            <w:r>
              <w:rPr/>
              <w:t xml:space="preserve">6.8M</w:t>
            </w:r>
          </w:p>
        </w:tc>
        <w:tc>
          <w:tcPr>
            <w:tcBorders>
              <w:bottom w:val="single" w:sz="8" w:space="0" w:color="000000"/>
            </w:tcBorders>
            <w:vAlign w:val="center"/>
          </w:tcPr>
          <w:p>
            <w:pPr>
              <w:spacing w:lineRule="auto"/>
              <w:jc w:val="center"/>
            </w:pPr>
            <w:r>
              <w:rPr/>
              <w:t xml:space="preserve">100.0%</w:t>
            </w:r>
          </w:p>
        </w:tc>
        <w:tc>
          <w:tcPr>
            <w:tcBorders>
              <w:bottom w:val="single" w:sz="8" w:space="0" w:color="000000"/>
            </w:tcBorders>
            <w:vAlign w:val="center"/>
          </w:tcPr>
          <w:p>
            <w:pPr>
              <w:spacing w:lineRule="auto"/>
              <w:jc w:val="center"/>
            </w:pPr>
            <w:r>
              <w:rPr/>
              <w:t xml:space="preserve">100.0%</w:t>
            </w:r>
          </w:p>
        </w:tc>
        <w:tc>
          <w:tcPr>
            <w:tcBorders>
              <w:bottom w:val="single" w:sz="8" w:space="0" w:color="000000"/>
            </w:tcBorders>
            <w:vAlign w:val="center"/>
          </w:tcPr>
          <w:p>
            <w:pPr>
              <w:spacing w:lineRule="auto"/>
              <w:jc w:val="center"/>
            </w:pPr>
            <w:r>
              <w:rPr/>
              <w:t xml:space="preserve">100.0%</w:t>
            </w:r>
          </w:p>
        </w:tc>
        <w:tc>
          <w:tcPr>
            <w:tcBorders>
              <w:bottom w:val="single" w:sz="8" w:space="0" w:color="000000"/>
            </w:tcBorders>
            <w:vAlign w:val="center"/>
          </w:tcPr>
          <w:p>
            <w:pPr>
              <w:spacing w:lineRule="auto"/>
              <w:jc w:val="center"/>
            </w:pPr>
            <w:r>
              <w:rPr/>
              <w:t xml:space="preserve">62.1%</w:t>
            </w:r>
          </w:p>
        </w:tc>
      </w:tr>
    </w:tbl>
    <w:p>
      <w:pPr>
        <w:spacing w:lineRule="auto"/>
      </w:pPr>
    </w:p>
    <w:p>
      <w:pPr>
        <w:spacing w:lineRule="auto"/>
      </w:pPr>
      <w:r>
        <w:rPr/>
        <w:t xml:space="preserve">Table 4: Benchmark comparison showing hierarchical EfficientNet-B0 significantly outperforms standard architectures for Large event detection despite fewer parameters. Overall accuracy is lower due to prioritization of catastrophic event recall over balanced multi-class performance.</w:t>
      </w:r>
    </w:p>
    <w:p>
      <w:pPr>
        <w:spacing w:line="271" w:before="240" w:lineRule="auto"/>
      </w:pPr>
      <w:bookmarkStart w:id="22" w:name="bm_4_4_robustness_across_solar_ac_e9a6f3"/>
      <w:r>
        <w:rPr>
          <w:b/>
          <w:sz w:val="33"/>
        </w:rPr>
        <w:t xml:space="preserve">4.4 Robustness Across Solar Activity Phases</w:t>
      </w:r>
      <w:bookmarkEnd w:id="22"/>
    </w:p>
    <w:p>
      <w:pPr>
        <w:spacing w:after="210" w:lineRule="auto"/>
      </w:pPr>
      <w:r>
        <w:rPr/>
        <w:t xml:space="preserve">To explicitly test solar bias mitigation, we partitioned the test set by solar flux levels. Binary accuracy decreased slightly from 91.2% (solar minimum) to 86.7% (solar maximum), but Large event recall remained perfect (100.0%) across all solar conditions, confirming successful homogenization strategy.</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bottom w:val="single" w:sz="8" w:space="0" w:color="000000"/>
            </w:tcBorders>
            <w:vAlign w:val="center"/>
          </w:tcPr>
          <w:p>
            <w:pPr>
              <w:spacing w:lineRule="auto"/>
              <w:jc w:val="left"/>
            </w:pPr>
            <w:r>
              <w:rPr/>
              <w:t xml:space="preserve">Solar Phase</w:t>
            </w:r>
          </w:p>
        </w:tc>
        <w:tc>
          <w:tcPr>
            <w:tcBorders>
              <w:top w:val="single" w:sz="8" w:space="0" w:color="000000"/>
              <w:bottom w:val="single" w:sz="8" w:space="0" w:color="000000"/>
            </w:tcBorders>
            <w:vAlign w:val="center"/>
          </w:tcPr>
          <w:p>
            <w:pPr>
              <w:spacing w:lineRule="auto"/>
              <w:jc w:val="center"/>
            </w:pPr>
            <w:r>
              <w:rPr/>
              <w:t xml:space="preserve">F10.7 Flux</w:t>
            </w:r>
          </w:p>
        </w:tc>
        <w:tc>
          <w:tcPr>
            <w:tcBorders>
              <w:top w:val="single" w:sz="8" w:space="0" w:color="000000"/>
              <w:bottom w:val="single" w:sz="8" w:space="0" w:color="000000"/>
            </w:tcBorders>
            <w:vAlign w:val="center"/>
          </w:tcPr>
          <w:p>
            <w:pPr>
              <w:spacing w:lineRule="auto"/>
              <w:jc w:val="center"/>
            </w:pPr>
            <w:r>
              <w:rPr/>
              <w:t xml:space="preserve">Binary Accuracy</w:t>
            </w:r>
          </w:p>
        </w:tc>
        <w:tc>
          <w:tcPr>
            <w:tcBorders>
              <w:top w:val="single" w:sz="8" w:space="0" w:color="000000"/>
              <w:bottom w:val="single" w:sz="8" w:space="0" w:color="000000"/>
            </w:tcBorders>
            <w:vAlign w:val="center"/>
          </w:tcPr>
          <w:p>
            <w:pPr>
              <w:spacing w:lineRule="auto"/>
              <w:jc w:val="center"/>
            </w:pPr>
            <w:r>
              <w:rPr/>
              <w:t xml:space="preserve">Recall (Large)</w:t>
            </w:r>
          </w:p>
        </w:tc>
      </w:tr>
      <w:tr>
        <w:trPr>
          <w:cantSplit/>
        </w:trPr>
        <w:tc>
          <w:tcPr>
            <w:tcBorders/>
            <w:vAlign w:val="center"/>
          </w:tcPr>
          <w:p>
            <w:pPr>
              <w:spacing w:lineRule="auto"/>
              <w:jc w:val="left"/>
            </w:pPr>
            <w:r>
              <w:rPr>
                <w:rFonts w:eastAsia="Georgia" w:cs="Georgia" w:ascii="Georgia" w:hAnsi="Georgia"/>
              </w:rPr>
              <w:t xml:space="preserve">Minimum (2018–2019)</w:t>
            </w:r>
          </w:p>
        </w:tc>
        <w:tc>
          <w:tcPr>
            <w:tcBorders/>
            <w:vAlign w:val="center"/>
          </w:tcPr>
          <w:p>
            <w:pPr>
              <w:spacing w:lineRule="auto"/>
              <w:jc w:val="center"/>
            </w:pPr>
            <w:r>
              <w:rPr>
                <w:rFonts w:eastAsia="Georgia" w:cs="Georgia" w:ascii="Georgia" w:hAnsi="Georgia"/>
              </w:rPr>
              <w:t xml:space="preserve">70–100 sfu</w:t>
            </w:r>
          </w:p>
        </w:tc>
        <w:tc>
          <w:tcPr>
            <w:tcBorders/>
            <w:vAlign w:val="center"/>
          </w:tcPr>
          <w:p>
            <w:pPr>
              <w:spacing w:lineRule="auto"/>
              <w:jc w:val="center"/>
            </w:pPr>
            <w:r>
              <w:rPr/>
              <w:t xml:space="preserve">91.2%</w:t>
            </w:r>
          </w:p>
        </w:tc>
        <w:tc>
          <w:tcPr>
            <w:tcBorders/>
            <w:vAlign w:val="center"/>
          </w:tcPr>
          <w:p>
            <w:pPr>
              <w:spacing w:lineRule="auto"/>
              <w:jc w:val="center"/>
            </w:pPr>
            <w:r>
              <w:rPr/>
              <w:t xml:space="preserve">100.0%</w:t>
            </w:r>
          </w:p>
        </w:tc>
      </w:tr>
      <w:tr>
        <w:trPr>
          <w:cantSplit/>
        </w:trPr>
        <w:tc>
          <w:tcPr>
            <w:tcBorders/>
            <w:vAlign w:val="center"/>
          </w:tcPr>
          <w:p>
            <w:pPr>
              <w:spacing w:lineRule="auto"/>
              <w:jc w:val="left"/>
            </w:pPr>
            <w:r>
              <w:rPr>
                <w:rFonts w:eastAsia="Georgia" w:cs="Georgia" w:ascii="Georgia" w:hAnsi="Georgia"/>
              </w:rPr>
              <w:t xml:space="preserve">Moderate (2022–2023)</w:t>
            </w:r>
          </w:p>
        </w:tc>
        <w:tc>
          <w:tcPr>
            <w:tcBorders/>
            <w:vAlign w:val="center"/>
          </w:tcPr>
          <w:p>
            <w:pPr>
              <w:spacing w:lineRule="auto"/>
              <w:jc w:val="center"/>
            </w:pPr>
            <w:r>
              <w:rPr>
                <w:rFonts w:eastAsia="Georgia" w:cs="Georgia" w:ascii="Georgia" w:hAnsi="Georgia"/>
              </w:rPr>
              <w:t xml:space="preserve">120–150 sfu</w:t>
            </w:r>
          </w:p>
        </w:tc>
        <w:tc>
          <w:tcPr>
            <w:tcBorders/>
            <w:vAlign w:val="center"/>
          </w:tcPr>
          <w:p>
            <w:pPr>
              <w:spacing w:lineRule="auto"/>
              <w:jc w:val="center"/>
            </w:pPr>
            <w:r>
              <w:rPr/>
              <w:t xml:space="preserve">88.5%</w:t>
            </w:r>
          </w:p>
        </w:tc>
        <w:tc>
          <w:tcPr>
            <w:tcBorders/>
            <w:vAlign w:val="center"/>
          </w:tcPr>
          <w:p>
            <w:pPr>
              <w:spacing w:lineRule="auto"/>
              <w:jc w:val="center"/>
            </w:pPr>
            <w:r>
              <w:rPr/>
              <w:t xml:space="preserve">100.0%</w:t>
            </w:r>
          </w:p>
        </w:tc>
      </w:tr>
      <w:tr>
        <w:trPr>
          <w:cantSplit/>
        </w:trPr>
        <w:tc>
          <w:tcPr>
            <w:tcBorders>
              <w:bottom w:val="single" w:sz="8" w:space="0" w:color="000000"/>
            </w:tcBorders>
            <w:vAlign w:val="center"/>
          </w:tcPr>
          <w:p>
            <w:pPr>
              <w:spacing w:lineRule="auto"/>
              <w:jc w:val="left"/>
            </w:pPr>
            <w:r>
              <w:rPr>
                <w:rFonts w:eastAsia="Georgia" w:cs="Georgia" w:ascii="Georgia" w:hAnsi="Georgia"/>
              </w:rPr>
              <w:t xml:space="preserve">Maximum (2024–2025)</w:t>
            </w:r>
          </w:p>
        </w:tc>
        <w:tc>
          <w:tcPr>
            <w:tcBorders>
              <w:bottom w:val="single" w:sz="8" w:space="0" w:color="000000"/>
            </w:tcBorders>
            <w:vAlign w:val="center"/>
          </w:tcPr>
          <w:p>
            <w:pPr>
              <w:spacing w:lineRule="auto"/>
              <w:jc w:val="center"/>
            </w:pPr>
            <w:r>
              <w:rPr>
                <w:rFonts w:eastAsia="Georgia" w:cs="Georgia" w:ascii="Georgia" w:hAnsi="Georgia"/>
              </w:rPr>
              <w:t xml:space="preserve">160–200 sfu</w:t>
            </w:r>
          </w:p>
        </w:tc>
        <w:tc>
          <w:tcPr>
            <w:tcBorders>
              <w:bottom w:val="single" w:sz="8" w:space="0" w:color="000000"/>
            </w:tcBorders>
            <w:vAlign w:val="center"/>
          </w:tcPr>
          <w:p>
            <w:pPr>
              <w:spacing w:lineRule="auto"/>
              <w:jc w:val="center"/>
            </w:pPr>
            <w:r>
              <w:rPr/>
              <w:t xml:space="preserve">86.7%</w:t>
            </w:r>
          </w:p>
        </w:tc>
        <w:tc>
          <w:tcPr>
            <w:tcBorders>
              <w:bottom w:val="single" w:sz="8" w:space="0" w:color="000000"/>
            </w:tcBorders>
            <w:vAlign w:val="center"/>
          </w:tcPr>
          <w:p>
            <w:pPr>
              <w:spacing w:lineRule="auto"/>
              <w:jc w:val="center"/>
            </w:pPr>
            <w:r>
              <w:rPr/>
              <w:t xml:space="preserve">100.0%</w:t>
            </w:r>
          </w:p>
        </w:tc>
      </w:tr>
    </w:tbl>
    <w:p>
      <w:pPr>
        <w:spacing w:lineRule="auto"/>
      </w:pPr>
    </w:p>
    <w:p>
      <w:pPr>
        <w:spacing w:lineRule="auto"/>
      </w:pPr>
      <w:r>
        <w:rPr/>
        <w:t xml:space="preserve">Table 5: Performance stability across solar activity phases demonstrating successful discrimination of true precursors from solar-induced noise.</w:t>
      </w:r>
    </w:p>
    <w:p>
      <w:pPr>
        <w:spacing w:line="271" w:before="240" w:lineRule="auto"/>
      </w:pPr>
      <w:bookmarkStart w:id="23" w:name="bm_4_5_computational_efficiency"/>
      <w:r>
        <w:rPr>
          <w:b/>
          <w:sz w:val="33"/>
        </w:rPr>
        <w:t xml:space="preserve">4.5 Computational Efficiency</w:t>
      </w:r>
      <w:bookmarkEnd w:id="23"/>
    </w:p>
    <w:p>
      <w:pPr>
        <w:spacing w:after="210" w:lineRule="auto"/>
      </w:pPr>
      <w:r>
        <w:rPr/>
        <w:t xml:space="preserve">The hierarchical EfficientNet-B0 provides substantial computational advantages: inference time 85 ms per spectrogram (NVIDIA RTX 3090), throughput 11.8 spectrograms/second, memory footprint 1.2 GB. This efficiency enables near-real-time processing of the entire 22-station Indonesian observatory network with latency budget 2.4 seconds for network-wide analysis.</w:t>
      </w:r>
    </w:p>
    <w:p>
      <w:pPr>
        <w:spacing w:line="271" w:before="240" w:lineRule="auto"/>
      </w:pPr>
      <w:bookmarkStart w:id="24" w:name="bm_5_interpretation_and_discussion"/>
      <w:r>
        <w:rPr>
          <w:b/>
          <w:sz w:val="42"/>
        </w:rPr>
        <w:t xml:space="preserve">5. Interpretation and Discussion</w:t>
      </w:r>
      <w:bookmarkEnd w:id="24"/>
    </w:p>
    <w:p>
      <w:pPr>
        <w:spacing w:line="271" w:before="240" w:lineRule="auto"/>
      </w:pPr>
      <w:bookmarkStart w:id="25" w:name="bm_5_1_grad_cam_visualization_of_413c7e"/>
      <w:r>
        <w:rPr>
          <w:b/>
          <w:sz w:val="33"/>
        </w:rPr>
        <w:t xml:space="preserve">5.1 Grad-CAM Visualization of Learned Features</w:t>
      </w:r>
      <w:bookmarkEnd w:id="25"/>
    </w:p>
    <w:p>
      <w:pPr>
        <w:spacing w:after="210" w:lineRule="auto"/>
      </w:pPr>
      <w:r>
        <w:rPr>
          <w:rFonts w:eastAsia="Georgia" w:cs="Georgia" w:ascii="Georgia" w:hAnsi="Georgia"/>
        </w:rPr>
        <w:t xml:space="preserve">To understand spectral-temporal patterns used for decision-making, we applied Gradient-weighted Class Activation Mapping (Grad-CAM) (Selvaraju et al., 2017) to visualize regions of high importance in input spectrograms. Key findings reveal the model consistently focuses on: (1) the 0.01–0.05 Hz frequency range corresponding to ULF Pc4-Pc5 pulsations identified in previous geophysical studies (Zafar et al., 2024), (2) temporal attention peaks during 3–6 hour window before earthquake, aligning with empirical observations (Han et al., 2016), (3) strong attention to vertical component (Z) enhancements relative to horizontal (H), consistent with lithospheric source expectations (Molchanov and Hayakawa, 2008), and (4) for Normal class samples during high solar flux, attention distributes uniformly across all frequencies, indicating the model learned that spectrally-flat broadband activity characterizes ionospheric noise rather than localized precursors.</w:t>
      </w:r>
    </w:p>
    <w:p>
      <w:pPr>
        <w:spacing w:after="210" w:lineRule="auto"/>
      </w:pPr>
      <w:r>
        <w:rPr/>
        <w:t xml:space="preserve">These attention patterns demonstrate the model discovered physically meaningful features rather than relying on spurious correlations or dataset artifacts.</w:t>
      </w:r>
    </w:p>
    <w:p>
      <w:pPr>
        <w:spacing w:line="271" w:before="240" w:lineRule="auto"/>
      </w:pPr>
      <w:bookmarkStart w:id="26" w:name="bm_5_2_physical_interpretation_of_7cfdd9"/>
      <w:r>
        <w:rPr>
          <w:b/>
          <w:sz w:val="33"/>
        </w:rPr>
        <w:t xml:space="preserve">5.2 Physical Interpretation of Magnitude Sensitivity Hierarchy</w:t>
      </w:r>
      <w:bookmarkEnd w:id="26"/>
    </w:p>
    <w:p>
      <w:pPr>
        <w:spacing w:after="210" w:lineRule="auto"/>
      </w:pPr>
      <w:r>
        <w:rPr>
          <w:rFonts w:eastAsia="Georgia" w:cs="Georgia" w:ascii="Georgia" w:hAnsi="Georgia"/>
        </w:rPr>
        <w:t xml:space="preserve">The stark contrast in model performance across magnitude classes (100% Large recall vs. 12% Moderate recall) has physical interpretation. Theoretical models predict electromagnetic emission intensity scales with earthquake energy release: E ∝ 10^(1.5M) (Kanamori, 1977). Consequently, M6.0 events (energy: 10^18 J) produce ~32× stronger ULF emissions than M4.5 events. Our results suggest this scaling crosses a detectability threshold around M5.5–6.0, above which precursors emerge clearly above ambient noise. Additionally, the Dobrovolsky preparation zone radius increases with magnitude: R_4.5 = 32 km vs. R_6.0 = 141 km. Larger spatial extent increases probability that at least one observatory falls within affected region. Studies also report longer precursory time windows for larger earthquakes (M4.5: 7–14 days, M6.0+: 14–30 days) (Rikitake, 1987). The 24-hour observation window may capture only final intensification phase for Large events while missing weaker early-stage signals for Moderate events.</w:t>
      </w:r>
    </w:p>
    <w:p>
      <w:pPr>
        <w:spacing w:line="271" w:before="240" w:lineRule="auto"/>
      </w:pPr>
      <w:bookmarkStart w:id="27" w:name="bm_5_3_implications_for_operation_10e7b0"/>
      <w:r>
        <w:rPr>
          <w:b/>
          <w:sz w:val="33"/>
        </w:rPr>
        <w:t xml:space="preserve">5.3 Implications for Operational Early Warning Systems</w:t>
      </w:r>
      <w:bookmarkEnd w:id="27"/>
    </w:p>
    <w:p>
      <w:pPr>
        <w:spacing w:after="210" w:lineRule="auto"/>
      </w:pPr>
      <w:r>
        <w:rPr>
          <w:rFonts w:eastAsia="Georgia" w:cs="Georgia" w:ascii="Georgia" w:hAnsi="Georgia"/>
        </w:rPr>
        <w:t xml:space="preserve">The 100% Large event recall with zero false positives has profound implications. The model can function as high-confidence trigger for emergency response protocols—when flagging Large magnitude precursor, operational decision-makers can initiate pre-positioning of rescue resources, public advisories, and infrastructure protection with high confidence. ULF precursor detection offers hours-to-days lead time for Large events, enabling complementary multi-timescale warning cascade: (1) ULF system provides 3–24 hour strategic warning for resource mobilization, (2) Seismometer network provides 5–60 second tactical warning for immediate protective actions (Minson et al., 2018). The hierarchical architecture enables magnitude-dependent alert thresholds—for Large events, operate with high sensitivity and aggressive alerting; for Moderate events, higher confidence thresholds prevent alert fatigue.</w:t>
      </w:r>
    </w:p>
    <w:p>
      <w:pPr>
        <w:spacing w:line="271" w:before="240" w:lineRule="auto"/>
      </w:pPr>
      <w:bookmarkStart w:id="28" w:name="bm_5_4_limitations_and_future_work"/>
      <w:r>
        <w:rPr>
          <w:b/>
          <w:sz w:val="33"/>
        </w:rPr>
        <w:t xml:space="preserve">5.4 Limitations and Future Work</w:t>
      </w:r>
      <w:bookmarkEnd w:id="28"/>
    </w:p>
    <w:p>
      <w:pPr>
        <w:spacing w:after="210" w:lineRule="auto"/>
      </w:pPr>
      <w:r>
        <w:rPr>
          <w:rFonts w:eastAsia="Georgia" w:cs="Georgia" w:ascii="Georgia" w:hAnsi="Georgia"/>
        </w:rPr>
        <w:t xml:space="preserve">Several limitations warrant acknowledgment. The 24-hour observation window provides only coarse temporal localization (precursor detected, earthquake expected within hours-to-days). Future work should explore multi-scale temporal analysis combining short-term (hourly) and medium-term (daily) spectral evolution to refine time-to-event predictions. This study used Z/H ratio spectrograms but did not exploit full three-component polarization information—incorporating declination (D) component and coherence analysis may enhance sensitivity for Medium magnitude events (Ida et al., 2008). Training data derived from Indonesian archipelago may not generalize to different tectonic settings—transfer learning using global observatory networks (INTERMAGNET) should validate cross-domain performance. The purely data-driven CNN approach does not incorporate known physical constraints (wave propagation, attenuation)—physics-informed neural networks embedding Maxwell's equations and lithospheric coupling mechanisms may improve interpretability (Karniadakis et al., 2021). Finally, while temporal precedence of ULF anomalies is established, definitive causal mechanism remains debated—controlled injection experiments could provide ground truth (Grigoli et al., 2018).</w:t>
      </w:r>
    </w:p>
    <w:p>
      <w:pPr>
        <w:spacing w:line="271" w:before="240" w:lineRule="auto"/>
      </w:pPr>
      <w:bookmarkStart w:id="29" w:name="bm_6_conclusions"/>
      <w:r>
        <w:rPr>
          <w:b/>
          <w:sz w:val="42"/>
        </w:rPr>
        <w:t xml:space="preserve">6. Conclusions</w:t>
      </w:r>
      <w:bookmarkEnd w:id="29"/>
    </w:p>
    <w:p>
      <w:pPr>
        <w:spacing w:after="210" w:lineRule="auto"/>
      </w:pPr>
      <w:r>
        <w:rPr>
          <w:rFonts w:eastAsia="Georgia" w:cs="Georgia" w:ascii="Georgia" w:hAnsi="Georgia"/>
        </w:rPr>
        <w:t xml:space="preserve">This study introduced a hierarchical EfficientNet-B0 architecture for earthquake precursor detection in ULF geomagnetic signals, addressing solar cycle bias through dataset homogenization and magnitude-dependent detection reliability through prioritized optimization. Key contributions include: (1) unprecedented Large event performance achieving 100% recall and precision for M≥6.0 earthquakes on held-out test data, (2) solar bias mitigation maintaining 86% specificity during peak solar activity by incorporating 1,000 high-flux Normal samples, (3) hierarchical architecture design enabling magnitude-specific optimization, (4) physical interpretability with Grad-CAM revealing focus on theoretically predicted frequency bands (0.01–0.05 Hz) and temporal windows (3–6 hours pre-seismic), and (5) operational efficiency with 85 ms inference time enabling real-time deployment.</w:t>
      </w:r>
    </w:p>
    <w:p>
      <w:pPr>
        <w:spacing w:after="210" w:lineRule="auto"/>
      </w:pPr>
      <w:r>
        <w:rPr>
          <w:rFonts w:eastAsia="Georgia" w:cs="Georgia" w:ascii="Georgia" w:hAnsi="Georgia"/>
        </w:rPr>
        <w:t xml:space="preserve">The moderate overall accuracy (62.1%) reflects the conscious design choice to prioritize catastrophic event detection over balanced multi-class performance—a trade-off justified by asymmetric consequences of missed Large earthquakes versus false alarms on Moderate events.</w:t>
      </w:r>
    </w:p>
    <w:p>
      <w:pPr>
        <w:spacing w:after="210" w:lineRule="auto"/>
      </w:pPr>
      <w:r>
        <w:rPr/>
        <w:t xml:space="preserve">Future research directions include: multi-scale temporal analysis for improved time-to-event prediction, incorporation of three-component polarization features, transfer learning to validate global generalization, integration of physics-informed constraints, and ensemble methods combining electromagnetic precursors with seismological, geodetic, and geochemical indicators for comprehensive multi-parameter early warning systems.</w:t>
      </w:r>
    </w:p>
    <w:p>
      <w:pPr>
        <w:spacing w:after="210" w:lineRule="auto"/>
      </w:pPr>
      <w:r>
        <w:rPr/>
        <w:t xml:space="preserve">The demonstrated reliability of hierarchical deep learning for Large magnitude earthquake precursor detection represents significant advance toward operational implementation of ULF-based early warning systems, particularly for disaster mitigation in seismically active regions.</w:t>
      </w:r>
    </w:p>
    <w:p>
      <w:pPr>
        <w:spacing w:line="271" w:before="240" w:lineRule="auto"/>
      </w:pPr>
      <w:bookmarkStart w:id="30" w:name="acknowledgements"/>
      <w:r>
        <w:rPr>
          <w:b/>
          <w:sz w:val="42"/>
        </w:rPr>
        <w:t xml:space="preserve">Acknowledgements</w:t>
      </w:r>
      <w:bookmarkEnd w:id="30"/>
    </w:p>
    <w:p>
      <w:pPr>
        <w:spacing w:after="210" w:lineRule="auto"/>
      </w:pPr>
      <w:r>
        <w:rPr/>
        <w:t xml:space="preserve">This research was conducted using data from the Indonesian Meteorology, Climatology, and Geophysics Agency (BMKG) geomagnetic observatory network. We thank technical staff at BMKG stations for maintaining high-quality continuous measurements. Earthquake catalog data were obtained from BMKG seismic monitoring division and USGS databases. Computational resources were provided by the Geophysics Research Division.</w:t>
      </w:r>
    </w:p>
    <w:p>
      <w:pPr>
        <w:spacing w:line="271" w:before="240" w:lineRule="auto"/>
      </w:pPr>
      <w:bookmarkStart w:id="31" w:name="data_availability_statement"/>
      <w:r>
        <w:rPr>
          <w:b/>
          <w:sz w:val="42"/>
        </w:rPr>
        <w:t xml:space="preserve">Data Availability Statement</w:t>
      </w:r>
      <w:bookmarkEnd w:id="31"/>
    </w:p>
    <w:p>
      <w:pPr>
        <w:spacing w:after="210" w:lineRule="auto"/>
      </w:pPr>
      <w:r>
        <w:rPr/>
        <w:t xml:space="preserve">Geomagnetic observatory data are available from BMKG upon reasonable request in accordance with data sharing policies. Earthquake catalog data are publicly available through BMKG (</w:t>
      </w:r>
      <w:hyperlink r:id="rId6">
        <w:r>
          <w:rPr>
            <w:color w:val="4472C4"/>
          </w:rPr>
          <w:t xml:space="preserve">https://www.bmkg.go.id</w:t>
        </w:r>
      </w:hyperlink>
      <w:r>
        <w:rPr/>
        <w:t xml:space="preserve">) and USGS (</w:t>
      </w:r>
      <w:hyperlink r:id="rId7">
        <w:r>
          <w:rPr>
            <w:color w:val="4472C4"/>
          </w:rPr>
          <w:t xml:space="preserve">https://earthquake.usgs.gov</w:t>
        </w:r>
      </w:hyperlink>
      <w:r>
        <w:rPr/>
        <w:t xml:space="preserve">). Trained model weights and inference code will be made available upon publication through a public repository.</w:t>
      </w:r>
    </w:p>
    <w:p>
      <w:pPr>
        <w:spacing w:line="271" w:before="240" w:lineRule="auto"/>
      </w:pPr>
      <w:bookmarkStart w:id="32" w:name="references"/>
      <w:r>
        <w:rPr>
          <w:b/>
          <w:sz w:val="42"/>
        </w:rPr>
        <w:t xml:space="preserve">References</w:t>
      </w:r>
      <w:bookmarkEnd w:id="32"/>
    </w:p>
    <w:p>
      <w:pPr>
        <w:spacing w:after="210" w:lineRule="auto"/>
      </w:pPr>
      <w:r>
        <w:rPr>
          <w:rFonts w:eastAsia="Georgia" w:cs="Georgia" w:ascii="Georgia" w:hAnsi="Georgia"/>
        </w:rPr>
        <w:t xml:space="preserve">Allen, R.M., Melgar, D., 2019. Earthquake early warning: Advances, scientific challenges, and societal needs. Annu. Rev. Earth Planet. Sci. 47, 361–388.</w:t>
      </w:r>
    </w:p>
    <w:p>
      <w:pPr>
        <w:spacing w:after="210" w:lineRule="auto"/>
      </w:pPr>
      <w:r>
        <w:rPr>
          <w:rFonts w:eastAsia="Georgia" w:cs="Georgia" w:ascii="Georgia" w:hAnsi="Georgia"/>
        </w:rPr>
        <w:t xml:space="preserve">Anagnostopoulos, G., Papandreou, A., Effenberger, F., Vassiliadis, D., Stefani, F., Xenos, T., 2021. Sunspot cycles and geomagnetic storms: The role of high-speed solar wind streams. Adv. Space Res. 67, 1799–1815.</w:t>
      </w:r>
    </w:p>
    <w:p>
      <w:pPr>
        <w:spacing w:after="210" w:lineRule="auto"/>
      </w:pPr>
      <w:r>
        <w:rPr>
          <w:rFonts w:eastAsia="Georgia" w:cs="Georgia" w:ascii="Georgia" w:hAnsi="Georgia"/>
        </w:rPr>
        <w:t xml:space="preserve">Anggraini, D., et al., 2024. Identification of electromagnetic ultra-low frequency signal anomaly as earthquake precursor in Sulawesi region. NEUTRINO: Jurnal Fisika dan Aplikasinya 16, 89–102.</w:t>
      </w:r>
    </w:p>
    <w:p>
      <w:pPr>
        <w:spacing w:after="210" w:lineRule="auto"/>
      </w:pPr>
      <w:r>
        <w:rPr>
          <w:rFonts w:eastAsia="Georgia" w:cs="Georgia" w:ascii="Georgia" w:hAnsi="Georgia"/>
        </w:rPr>
        <w:t xml:space="preserve">Asim, K.M., Martínez-Álvarez, F., Basit, A., Iqbal, T., 2017. Earthquake magnitude prediction in Hindukush region using machine learning techniques. Nat. Hazards 85, 471–486.</w:t>
      </w:r>
    </w:p>
    <w:p>
      <w:pPr>
        <w:spacing w:after="210" w:lineRule="auto"/>
      </w:pPr>
      <w:r>
        <w:rPr/>
        <w:t xml:space="preserve">Bergen, K.J., Johnson, P.A., Maechling, P.J., Beroza, G.C., 2019. Machine learning for data-driven discovery in solid Earth geoscience. Science 363, eaau0323.</w:t>
      </w:r>
    </w:p>
    <w:p>
      <w:pPr>
        <w:spacing w:after="210" w:lineRule="auto"/>
      </w:pPr>
      <w:r>
        <w:rPr>
          <w:rFonts w:eastAsia="Georgia" w:cs="Georgia" w:ascii="Georgia" w:hAnsi="Georgia"/>
        </w:rPr>
        <w:t xml:space="preserve">Currie, J.L., Waters, C.L., 2014. On the use of geomagnetic indices and ULF waves for earthquake precursor signatures. J. Geophys. Res. Space Phys. 119, 992–1003.</w:t>
      </w:r>
    </w:p>
    <w:p>
      <w:pPr>
        <w:spacing w:after="210" w:lineRule="auto"/>
      </w:pPr>
      <w:r>
        <w:rPr>
          <w:rFonts w:eastAsia="Georgia" w:cs="Georgia" w:ascii="Georgia" w:hAnsi="Georgia"/>
        </w:rPr>
        <w:t xml:space="preserve">Dobrovolsky, I.P., Zubkov, S.I., Miachkin, V.I., 1979. Estimation of the size of earthquake preparation zones. Pure Appl. Geophys. 117, 1025–1044.</w:t>
      </w:r>
    </w:p>
    <w:p>
      <w:pPr>
        <w:spacing w:after="210" w:lineRule="auto"/>
      </w:pPr>
      <w:r>
        <w:rPr/>
        <w:t xml:space="preserve">Febri, P., et al., 2019. ULF geomagnetic anomalies associated with earthquakes in Indonesia. J. Phys.: Conf. Ser. 1127, 012066.</w:t>
      </w:r>
    </w:p>
    <w:p>
      <w:pPr>
        <w:spacing w:after="210" w:lineRule="auto"/>
      </w:pPr>
      <w:r>
        <w:rPr>
          <w:rFonts w:eastAsia="Georgia" w:cs="Georgia" w:ascii="Georgia" w:hAnsi="Georgia"/>
        </w:rPr>
        <w:t xml:space="preserve">Fraser-Smith, A.C., Bernardi, A., McGill, P.R., Ladd, M.E., Helliwell, R.A., Villard Jr, O.G., 1990. Low-frequency magnetic field measurements near the epicenter of the Ms 7.1 Loma Prieta earthquake. Geophys. Res. Lett. 17, 1465–1468.</w:t>
      </w:r>
    </w:p>
    <w:p>
      <w:pPr>
        <w:spacing w:after="210" w:lineRule="auto"/>
      </w:pPr>
      <w:r>
        <w:rPr>
          <w:rFonts w:eastAsia="Georgia" w:cs="Georgia" w:ascii="Georgia" w:hAnsi="Georgia"/>
        </w:rPr>
        <w:t xml:space="preserve">Freund, F., 2011. Pre-earthquake signals: Underlying physical processes. J. Asian Earth Sci. 41, 383–400.</w:t>
      </w:r>
    </w:p>
    <w:p>
      <w:pPr>
        <w:spacing w:after="210" w:lineRule="auto"/>
      </w:pPr>
      <w:r>
        <w:rPr>
          <w:rFonts w:eastAsia="Georgia" w:cs="Georgia" w:ascii="Georgia" w:hAnsi="Georgia"/>
        </w:rPr>
        <w:t xml:space="preserve">Geller, R.J., Jackson, D.D., Kagan, Y.Y., Mulargia, F., 1997. Earthquakes cannot be predicted. Science 275, 1616–1617.</w:t>
      </w:r>
    </w:p>
    <w:p>
      <w:pPr>
        <w:spacing w:after="210" w:lineRule="auto"/>
      </w:pPr>
      <w:r>
        <w:rPr>
          <w:rFonts w:eastAsia="Georgia" w:cs="Georgia" w:ascii="Georgia" w:hAnsi="Georgia"/>
        </w:rPr>
        <w:t xml:space="preserve">Grigoli, F., Cesca, S., Rinaldi, A.P., Manconi, A., López-Comino, J.A., Clinton, J.F., et al., 2018. The November 2017 Mw 5.5 Pohang earthquake: A possible case of induced seismicity in South Korea. Science 360, 1003–1006.</w:t>
      </w:r>
    </w:p>
    <w:p>
      <w:pPr>
        <w:spacing w:after="210" w:lineRule="auto"/>
      </w:pPr>
      <w:r>
        <w:rPr>
          <w:rFonts w:eastAsia="Georgia" w:cs="Georgia" w:ascii="Georgia" w:hAnsi="Georgia"/>
        </w:rPr>
        <w:t xml:space="preserve">Han, P., Hattori, K., Huang, Q., Hirooka, S., Yoshino, C., 2016. Spatiotemporal characteristics of the geomagnetic diurnal variation anomalies prior to the 2011 Tohoku earthquake (Mw 9.0) and the possible coupling of multiple pre-earthquake phenomena. J. Asian Earth Sci. 129, 13–21.</w:t>
      </w:r>
    </w:p>
    <w:p>
      <w:pPr>
        <w:spacing w:after="210" w:lineRule="auto"/>
      </w:pPr>
      <w:r>
        <w:rPr>
          <w:rFonts w:eastAsia="Georgia" w:cs="Georgia" w:ascii="Georgia" w:hAnsi="Georgia"/>
        </w:rPr>
        <w:t xml:space="preserve">Hattori, K., 2004. ULF geomagnetic changes associated with large earthquakes. Terr. Atmos. Ocean. Sci. 15, 329–360.</w:t>
      </w:r>
    </w:p>
    <w:p>
      <w:pPr>
        <w:spacing w:after="210" w:lineRule="auto"/>
      </w:pPr>
      <w:r>
        <w:rPr>
          <w:rFonts w:eastAsia="Georgia" w:cs="Georgia" w:ascii="Georgia" w:hAnsi="Georgia"/>
        </w:rPr>
        <w:t xml:space="preserve">Hattori, K., Han, P., Yoshino, C., Febriani, F., Yamaguchi, H., Chen, C.H., 2013. Investigation of ULF seismo-magnetic phenomena in Kanto, Japan during 2000–2010: Case studies and statistical studies. Surv. Geophys. 34, 293–316.</w:t>
      </w:r>
    </w:p>
    <w:p>
      <w:pPr>
        <w:spacing w:after="210" w:lineRule="auto"/>
      </w:pPr>
      <w:r>
        <w:rPr>
          <w:rFonts w:eastAsia="Georgia" w:cs="Georgia" w:ascii="Georgia" w:hAnsi="Georgia"/>
        </w:rPr>
        <w:t xml:space="preserve">Hayakawa, M., Kawate, R., Molchanov, O.A., Yumoto, K., 1996. Results of ultra-low-frequency magnetic field measurements during the Guam earthquake of 8 August 1993. Geophys. Res. Lett. 23, 241–244.</w:t>
      </w:r>
    </w:p>
    <w:p>
      <w:pPr>
        <w:spacing w:after="210" w:lineRule="auto"/>
      </w:pPr>
      <w:r>
        <w:rPr>
          <w:rFonts w:eastAsia="Georgia" w:cs="Georgia" w:ascii="Georgia" w:hAnsi="Georgia"/>
        </w:rPr>
        <w:t xml:space="preserve">Hayakawa, M., Hobara, Y., Yasuda, Y., Yamaguchi, H., Ohta, K., Izutsu, J., Nakamura, T., 2012. Possible precursor to the March 11, 2011, Japan earthquake: Ionospheric perturbations as seen by subionospheric very low frequency/low frequency propagation. Ann. Geophys. 55, 95–99.</w:t>
      </w:r>
    </w:p>
    <w:p>
      <w:pPr>
        <w:spacing w:after="210" w:lineRule="auto"/>
      </w:pPr>
      <w:r>
        <w:rPr>
          <w:rFonts w:eastAsia="Georgia" w:cs="Georgia" w:ascii="Georgia" w:hAnsi="Georgia"/>
        </w:rPr>
        <w:t xml:space="preserve">Ida, Y., Hayakawa, M., Adalev, A., Gotoh, K., 2008. Multifractal analysis for the ULF geomagnetic data during the 1993 Guam earthquake. Nonlinear Process. Geophys. 15, 981–989.</w:t>
      </w:r>
    </w:p>
    <w:p>
      <w:pPr>
        <w:spacing w:after="210" w:lineRule="auto"/>
      </w:pPr>
      <w:r>
        <w:rPr>
          <w:rFonts w:eastAsia="Georgia" w:cs="Georgia" w:ascii="Georgia" w:hAnsi="Georgia"/>
        </w:rPr>
        <w:t xml:space="preserve">Jarmołowski, W., et al., 2025. An eight-year global look at correlations between total electron content, solar activity, and seismic phenomena. Adv. Space Res. 75, 1116–1135.</w:t>
      </w:r>
    </w:p>
    <w:p>
      <w:pPr>
        <w:spacing w:after="210" w:lineRule="auto"/>
      </w:pPr>
      <w:r>
        <w:rPr>
          <w:rFonts w:eastAsia="Georgia" w:cs="Georgia" w:ascii="Georgia" w:hAnsi="Georgia"/>
        </w:rPr>
        <w:t xml:space="preserve">Kanamori, H., 1977. The energy release in great earthquakes. J. Geophys. Res. 82, 2981–2987.</w:t>
      </w:r>
    </w:p>
    <w:p>
      <w:pPr>
        <w:spacing w:after="210" w:lineRule="auto"/>
      </w:pPr>
      <w:r>
        <w:rPr>
          <w:rFonts w:eastAsia="Georgia" w:cs="Georgia" w:ascii="Georgia" w:hAnsi="Georgia"/>
        </w:rPr>
        <w:t xml:space="preserve">Karniadakis, G.E., Kevrekidis, I.G., Lu, L., Perdikaris, P., Wang, S., Yang, L., 2021. Physics-informed machine learning. Nat. Rev. Phys. 3, 422–440.</w:t>
      </w:r>
    </w:p>
    <w:p>
      <w:pPr>
        <w:spacing w:after="210" w:lineRule="auto"/>
      </w:pPr>
      <w:r>
        <w:rPr/>
        <w:t xml:space="preserve">Kiruthiga, S., et al., 2024. Prediction of ionospheric TEC during the occurrence of earthquakes using ARMA and Cokriging models. Front. Astron. Space Sci. 11, 1415323.</w:t>
      </w:r>
    </w:p>
    <w:p>
      <w:pPr>
        <w:spacing w:after="210" w:lineRule="auto"/>
      </w:pPr>
      <w:r>
        <w:rPr>
          <w:rFonts w:eastAsia="Georgia" w:cs="Georgia" w:ascii="Georgia" w:hAnsi="Georgia"/>
        </w:rPr>
        <w:t xml:space="preserve">Masci, F., Thomas, J.N., 2015. Are there new findings in the search for ULF magnetic precursors to earthquakes? J. Geophys. Res. Space Phys. 120, 10289–10304.</w:t>
      </w:r>
    </w:p>
    <w:p>
      <w:pPr>
        <w:spacing w:after="210" w:lineRule="auto"/>
      </w:pPr>
      <w:r>
        <w:rPr/>
        <w:t xml:space="preserve">Minson, S.E., Meier, M.A., Aagaard, B.T., Hanks, T.C., Cochran, E.S., 2018. The limits of earthquake early warning: Timeliness of ground motion estimates. Sci. Adv. 4, eaaq0504.</w:t>
      </w:r>
    </w:p>
    <w:p>
      <w:pPr>
        <w:spacing w:after="210" w:lineRule="auto"/>
      </w:pPr>
      <w:r>
        <w:rPr/>
        <w:t xml:space="preserve">Molchanov, O.A., Hayakawa, M., 2008. Seismo Electromagnetics and Related Phenomena: History and Latest Results. Terrapub, Tokyo.</w:t>
      </w:r>
    </w:p>
    <w:p>
      <w:pPr>
        <w:spacing w:after="210" w:lineRule="auto"/>
      </w:pPr>
      <w:r>
        <w:rPr/>
        <w:t xml:space="preserve">Mousavi, S.M., Beroza, G.C., 2023. Deep-learning seismology. Science 377, eabm4470.</w:t>
      </w:r>
    </w:p>
    <w:p>
      <w:pPr>
        <w:spacing w:after="210" w:lineRule="auto"/>
      </w:pPr>
      <w:r>
        <w:rPr/>
        <w:t xml:space="preserve">Oikonomou, C., Haralambous, H., Pulinets, S., Khadka, A., Paudel, S.R., Barta, V., et al., 2021. Investigation of pre-earthquake ionospheric and atmospheric disturbances for three large earthquakes in Mexico. Geosciences 11, 16.</w:t>
      </w:r>
    </w:p>
    <w:p>
      <w:pPr>
        <w:spacing w:after="210" w:lineRule="auto"/>
      </w:pPr>
      <w:r>
        <w:rPr/>
        <w:t xml:space="preserve">Perol, T., Gharbi, M., Denolle, M., 2018. Convolutional neural network for earthquake detection and location. Sci. Adv. 4, e1700578.</w:t>
      </w:r>
    </w:p>
    <w:p>
      <w:pPr>
        <w:spacing w:after="210" w:lineRule="auto"/>
      </w:pPr>
      <w:r>
        <w:rPr>
          <w:rFonts w:eastAsia="Georgia" w:cs="Georgia" w:ascii="Georgia" w:hAnsi="Georgia"/>
        </w:rPr>
        <w:t xml:space="preserve">Pulinets, S., Davidenko, D., 2014. Ionospheric precursors of earthquakes and global electric circuit. Adv. Space Res. 53, 709–723.</w:t>
      </w:r>
    </w:p>
    <w:p>
      <w:pPr>
        <w:spacing w:after="210" w:lineRule="auto"/>
      </w:pPr>
      <w:r>
        <w:rPr>
          <w:rFonts w:eastAsia="Georgia" w:cs="Georgia" w:ascii="Georgia" w:hAnsi="Georgia"/>
        </w:rPr>
        <w:t xml:space="preserve">Pulinets, S., Ouzounov, D., 2011. Lithosphere–Atmosphere–Ionosphere Coupling (LAIC) model—An unified concept for earthquake precursors validation. J. Asian Earth Sci. 41, 371–382.</w:t>
      </w:r>
    </w:p>
    <w:p>
      <w:pPr>
        <w:spacing w:after="210" w:lineRule="auto"/>
      </w:pPr>
      <w:r>
        <w:rPr/>
        <w:t xml:space="preserve">Ramakrishna, N., 2024. PhaseNet and EfficientNet-B0 for phase detection and arrival time picking on INSTANCE dataset. MSc Thesis, National College of Ireland.</w:t>
      </w:r>
    </w:p>
    <w:p>
      <w:pPr>
        <w:spacing w:after="210" w:lineRule="auto"/>
      </w:pPr>
      <w:r>
        <w:rPr>
          <w:rFonts w:eastAsia="Georgia" w:cs="Georgia" w:ascii="Georgia" w:hAnsi="Georgia"/>
        </w:rPr>
        <w:t xml:space="preserve">Rikitake, T., 1987. Earthquake precursors in Japan: Precursor time and detectability. Tectonophysics 136, 265–282.</w:t>
      </w:r>
    </w:p>
    <w:p>
      <w:pPr>
        <w:spacing w:after="210" w:lineRule="auto"/>
      </w:pPr>
      <w:r>
        <w:rPr>
          <w:rFonts w:eastAsia="Georgia" w:cs="Georgia" w:ascii="Georgia" w:hAnsi="Georgia"/>
        </w:rPr>
        <w:t xml:space="preserve">Selvaraju, R.R., Cogswell, M., Das, A., Vedantam, R., Parikh, D., Batra, D., 2017. Grad-CAM: Visual explanations from deep networks via gradient-based localization, in: Int. Conf. Comput. Vision, pp. 618–626.</w:t>
      </w:r>
    </w:p>
    <w:p>
      <w:pPr>
        <w:spacing w:after="210" w:lineRule="auto"/>
      </w:pPr>
      <w:r>
        <w:rPr>
          <w:rFonts w:eastAsia="Georgia" w:cs="Georgia" w:ascii="Georgia" w:hAnsi="Georgia"/>
        </w:rPr>
        <w:t xml:space="preserve">Sieh, K., Natawidjaja, D., 2000. Neotectonics of the Sumatran fault, Indonesia. J. Geophys. Res. 105, 28295–28326.</w:t>
      </w:r>
    </w:p>
    <w:p>
      <w:pPr>
        <w:spacing w:after="210" w:lineRule="auto"/>
      </w:pPr>
      <w:r>
        <w:rPr/>
        <w:t xml:space="preserve">Surkov, V., Hayakawa, M., 2014. Ultra and Extremely Low Frequency Electromagnetic Fields. Springer, Tokyo.</w:t>
      </w:r>
    </w:p>
    <w:p>
      <w:pPr>
        <w:spacing w:after="210" w:lineRule="auto"/>
      </w:pPr>
      <w:r>
        <w:rPr>
          <w:rFonts w:eastAsia="Georgia" w:cs="Georgia" w:ascii="Georgia" w:hAnsi="Georgia"/>
        </w:rPr>
        <w:t xml:space="preserve">Tan, M., Le, Q., 2019. EfficientNet: Rethinking model scaling for convolutional neural networks, in: Int. Conf. Mach. Learn., pp. 6105–6114.</w:t>
      </w:r>
    </w:p>
    <w:p>
      <w:pPr>
        <w:spacing w:after="210" w:lineRule="auto"/>
      </w:pPr>
      <w:r>
        <w:rPr>
          <w:rFonts w:eastAsia="Georgia" w:cs="Georgia" w:ascii="Georgia" w:hAnsi="Georgia"/>
        </w:rPr>
        <w:t xml:space="preserve">Zafar, S.N.A.S., et al., 2024. Modelling of ULF Pc4-Pc5 pulsations with solar winds prior to earthquakes. Adv. Space Res. 73, 1208–1223.</w:t>
      </w:r>
    </w:p>
    <w:p>
      <w:pPr>
        <w:spacing w:after="210" w:lineRule="auto"/>
      </w:pPr>
      <w:r>
        <w:rPr>
          <w:rFonts w:eastAsia="Georgia" w:cs="Georgia" w:ascii="Georgia" w:hAnsi="Georgia"/>
        </w:rPr>
        <w:t xml:space="preserve">Zhu, W., Beroza, G.C., 2019. PhaseNet: A deep-neural-network-based seismic arrival-time picking method. Geophys. J. Int. 216, 261–273.</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first.author@bmkg.go.id" TargetMode="External"/><Relationship Id="rId6" Type="http://schemas.openxmlformats.org/officeDocument/2006/relationships/hyperlink" Target="https://www.bmkg.go.id" TargetMode="External"/><Relationship Id="rId7" Type="http://schemas.openxmlformats.org/officeDocument/2006/relationships/hyperlink" Target="https://earthquake.usgs.go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2026-02-14T04:48:05.368Z</dcterms:created>
  <dcterms:modified xsi:type="dcterms:W3CDTF">2026-02-14T04:48:05.368Z</dcterms:modified>
</cp:coreProperties>
</file>