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Publication Tables: Hierarchical EfficientNet-B0</w:t>
      </w:r>
    </w:p>
    <w:p>
      <w:pPr>
        <w:pStyle w:val="Heading2"/>
      </w:pPr>
      <w:r>
        <w:t>Table 1. Dataset composition and temporal distribution</w:t>
      </w:r>
    </w:p>
    <w:p>
      <w:r>
        <w:t>The table details the distribution of 2,265 spectrogram samples across different solar activity phases, including 1,000 "Modern Normal" samples from the 2024–2025 peak used to enforce solar cycle bias mitigation.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Magnitude Range</w:t>
            </w:r>
          </w:p>
        </w:tc>
        <w:tc>
          <w:tcPr>
            <w:tcW w:type="dxa" w:w="1728"/>
          </w:tcPr>
          <w:p>
            <w:r>
              <w:t>Samples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Data Source</w:t>
            </w:r>
          </w:p>
        </w:tc>
      </w:tr>
      <w:tr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M ≥ 6.0</w:t>
            </w:r>
          </w:p>
        </w:tc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19.7%</w:t>
            </w:r>
          </w:p>
        </w:tc>
        <w:tc>
          <w:tcPr>
            <w:tcW w:type="dxa" w:w="1728"/>
          </w:tcPr>
          <w:p>
            <w:r>
              <w:t>Historical (2018-2023)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5.0 ≤ M &lt; 6.0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14.0%</w:t>
            </w:r>
          </w:p>
        </w:tc>
        <w:tc>
          <w:tcPr>
            <w:tcW w:type="dxa" w:w="1728"/>
          </w:tcPr>
          <w:p>
            <w:r>
              <w:t>Legacy + Scan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4.5 ≤ M &lt; 5.0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22.1%</w:t>
            </w:r>
          </w:p>
        </w:tc>
        <w:tc>
          <w:tcPr>
            <w:tcW w:type="dxa" w:w="1728"/>
          </w:tcPr>
          <w:p>
            <w:r>
              <w:t>Extensive Clean Scan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 &lt; 4.0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44.2%</w:t>
            </w:r>
          </w:p>
        </w:tc>
        <w:tc>
          <w:tcPr>
            <w:tcW w:type="dxa" w:w="1728"/>
          </w:tcPr>
          <w:p>
            <w:r>
              <w:t>Modern Peak (2024-2025)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2,265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Homogenized Set</w:t>
            </w:r>
          </w:p>
        </w:tc>
      </w:tr>
    </w:tbl>
    <w:p/>
    <w:p>
      <w:pPr>
        <w:pStyle w:val="Heading2"/>
      </w:pPr>
      <w:r>
        <w:t>Table 2. Binary classification performance comparison</w:t>
      </w:r>
    </w:p>
    <w:p>
      <w:r>
        <w:t>A performance benchmark between the proposed Phase 2.1 model and the VGG16 baseline, showing a 17.1 percentage point improvement in Normal class recall during high solar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Architecture</w:t>
            </w:r>
          </w:p>
        </w:tc>
        <w:tc>
          <w:tcPr>
            <w:tcW w:type="dxa" w:w="2160"/>
          </w:tcPr>
          <w:p>
            <w:r>
              <w:t>Binary Accuracy (Overall)</w:t>
            </w:r>
          </w:p>
        </w:tc>
        <w:tc>
          <w:tcPr>
            <w:tcW w:type="dxa" w:w="2160"/>
          </w:tcPr>
          <w:p>
            <w:r>
              <w:t>Normal Recall (High Solar Activity)</w:t>
            </w:r>
          </w:p>
        </w:tc>
        <w:tc>
          <w:tcPr>
            <w:tcW w:type="dxa" w:w="2160"/>
          </w:tcPr>
          <w:p>
            <w:r>
              <w:t>Improvement (p.p.)</w:t>
            </w:r>
          </w:p>
        </w:tc>
      </w:tr>
      <w:tr>
        <w:tc>
          <w:tcPr>
            <w:tcW w:type="dxa" w:w="2160"/>
          </w:tcPr>
          <w:p>
            <w:r>
              <w:t>VGG16 (Baseline)</w:t>
            </w:r>
          </w:p>
        </w:tc>
        <w:tc>
          <w:tcPr>
            <w:tcW w:type="dxa" w:w="2160"/>
          </w:tcPr>
          <w:p>
            <w:r>
              <w:t>72.1%</w:t>
            </w:r>
          </w:p>
        </w:tc>
        <w:tc>
          <w:tcPr>
            <w:tcW w:type="dxa" w:w="2160"/>
          </w:tcPr>
          <w:p>
            <w:r>
              <w:t>79.8%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Phase 2.1 (Proposed)</w:t>
            </w:r>
          </w:p>
        </w:tc>
        <w:tc>
          <w:tcPr>
            <w:tcW w:type="dxa" w:w="2160"/>
          </w:tcPr>
          <w:p>
            <w:r>
              <w:t>89.0%</w:t>
            </w:r>
          </w:p>
        </w:tc>
        <w:tc>
          <w:tcPr>
            <w:tcW w:type="dxa" w:w="2160"/>
          </w:tcPr>
          <w:p>
            <w:r>
              <w:t>96.9%</w:t>
            </w:r>
          </w:p>
        </w:tc>
        <w:tc>
          <w:tcPr>
            <w:tcW w:type="dxa" w:w="2160"/>
          </w:tcPr>
          <w:p>
            <w:r>
              <w:t>+17.1%</w:t>
            </w:r>
          </w:p>
        </w:tc>
      </w:tr>
    </w:tbl>
    <w:p/>
    <w:p>
      <w:pPr>
        <w:pStyle w:val="Heading2"/>
      </w:pPr>
      <w:r>
        <w:t>Table 3. Magnitude-specific classification performance</w:t>
      </w:r>
    </w:p>
    <w:p>
      <w:r>
        <w:t>Results on the unseen test set highlighting the hierarchical model's effectiveness, particularly for Large-magnitude (M≥6.0) events which achieved a 98.65% recall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Magnitude Class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Recall (Sensitivity)</w:t>
            </w:r>
          </w:p>
        </w:tc>
        <w:tc>
          <w:tcPr>
            <w:tcW w:type="dxa" w:w="2160"/>
          </w:tcPr>
          <w:p>
            <w:r>
              <w:t>Precision (Reliability)</w:t>
            </w:r>
          </w:p>
        </w:tc>
      </w:tr>
      <w:tr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M ≥ 6.0</w:t>
            </w:r>
          </w:p>
        </w:tc>
        <w:tc>
          <w:tcPr>
            <w:tcW w:type="dxa" w:w="2160"/>
          </w:tcPr>
          <w:p>
            <w:r>
              <w:t>98.65%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5.0 ≤ M &lt; 6.0</w:t>
            </w:r>
          </w:p>
        </w:tc>
        <w:tc>
          <w:tcPr>
            <w:tcW w:type="dxa" w:w="2160"/>
          </w:tcPr>
          <w:p>
            <w:r>
              <w:t>78.9%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</w:tr>
      <w:tr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4.5 ≤ M &lt; 5.0</w:t>
            </w:r>
          </w:p>
        </w:tc>
        <w:tc>
          <w:tcPr>
            <w:tcW w:type="dxa" w:w="2160"/>
          </w:tcPr>
          <w:p>
            <w:r>
              <w:t>17.8%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Quiet</w:t>
            </w:r>
          </w:p>
        </w:tc>
        <w:tc>
          <w:tcPr>
            <w:tcW w:type="dxa" w:w="2160"/>
          </w:tcPr>
          <w:p>
            <w:r>
              <w:t>96.9%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</w:tbl>
    <w:p/>
    <w:p>
      <w:pPr>
        <w:pStyle w:val="Heading2"/>
      </w:pPr>
      <w:r>
        <w:t>Table 4. Benchmark comparison against standard CNN architectures</w:t>
      </w:r>
    </w:p>
    <w:p>
      <w:r>
        <w:t>Comparison of total parameters and classification performance across VGG16, ResNet50, and ConvNeXt-Tiny, demonstrating the superior efficiency of the Hierarchical EfficientNet-B0.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Parameters (M)</w:t>
            </w:r>
          </w:p>
        </w:tc>
        <w:tc>
          <w:tcPr>
            <w:tcW w:type="dxa" w:w="1728"/>
          </w:tcPr>
          <w:p>
            <w:r>
              <w:t>Binary Accuracy</w:t>
            </w:r>
          </w:p>
        </w:tc>
        <w:tc>
          <w:tcPr>
            <w:tcW w:type="dxa" w:w="1728"/>
          </w:tcPr>
          <w:p>
            <w:r>
              <w:t>Large Recall</w:t>
            </w:r>
          </w:p>
        </w:tc>
        <w:tc>
          <w:tcPr>
            <w:tcW w:type="dxa" w:w="1728"/>
          </w:tcPr>
          <w:p>
            <w:r>
              <w:t>Inference (ms)</w:t>
            </w:r>
          </w:p>
        </w:tc>
      </w:tr>
      <w:tr>
        <w:tc>
          <w:tcPr>
            <w:tcW w:type="dxa" w:w="1728"/>
          </w:tcPr>
          <w:p>
            <w:r>
              <w:t>VGG16</w:t>
            </w:r>
          </w:p>
        </w:tc>
        <w:tc>
          <w:tcPr>
            <w:tcW w:type="dxa" w:w="1728"/>
          </w:tcPr>
          <w:p>
            <w:r>
              <w:t>138.4</w:t>
            </w:r>
          </w:p>
        </w:tc>
        <w:tc>
          <w:tcPr>
            <w:tcW w:type="dxa" w:w="1728"/>
          </w:tcPr>
          <w:p>
            <w:r>
              <w:t>72.1%</w:t>
            </w:r>
          </w:p>
        </w:tc>
        <w:tc>
          <w:tcPr>
            <w:tcW w:type="dxa" w:w="1728"/>
          </w:tcPr>
          <w:p>
            <w:r>
              <w:t>65.2%</w:t>
            </w:r>
          </w:p>
        </w:tc>
        <w:tc>
          <w:tcPr>
            <w:tcW w:type="dxa" w:w="1728"/>
          </w:tcPr>
          <w:p>
            <w:r>
              <w:t>145</w:t>
            </w:r>
          </w:p>
        </w:tc>
      </w:tr>
      <w:tr>
        <w:tc>
          <w:tcPr>
            <w:tcW w:type="dxa" w:w="1728"/>
          </w:tcPr>
          <w:p>
            <w:r>
              <w:t>ResNet50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75.3%</w:t>
            </w:r>
          </w:p>
        </w:tc>
        <w:tc>
          <w:tcPr>
            <w:tcW w:type="dxa" w:w="1728"/>
          </w:tcPr>
          <w:p>
            <w:r>
              <w:t>71.8%</w:t>
            </w:r>
          </w:p>
        </w:tc>
        <w:tc>
          <w:tcPr>
            <w:tcW w:type="dxa" w:w="1728"/>
          </w:tcPr>
          <w:p>
            <w:r>
              <w:t>98</w:t>
            </w:r>
          </w:p>
        </w:tc>
      </w:tr>
      <w:tr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81.0%</w:t>
            </w:r>
          </w:p>
        </w:tc>
        <w:tc>
          <w:tcPr>
            <w:tcW w:type="dxa" w:w="1728"/>
          </w:tcPr>
          <w:p>
            <w:r>
              <w:t>80.5%</w:t>
            </w:r>
          </w:p>
        </w:tc>
        <w:tc>
          <w:tcPr>
            <w:tcW w:type="dxa" w:w="1728"/>
          </w:tcPr>
          <w:p>
            <w:r>
              <w:t>112</w:t>
            </w:r>
          </w:p>
        </w:tc>
      </w:tr>
      <w:tr>
        <w:tc>
          <w:tcPr>
            <w:tcW w:type="dxa" w:w="1728"/>
          </w:tcPr>
          <w:p>
            <w:r>
              <w:t>Hierarchical EfficientNet-B0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89.0%</w:t>
            </w:r>
          </w:p>
        </w:tc>
        <w:tc>
          <w:tcPr>
            <w:tcW w:type="dxa" w:w="1728"/>
          </w:tcPr>
          <w:p>
            <w:r>
              <w:t>98.65%</w:t>
            </w:r>
          </w:p>
        </w:tc>
        <w:tc>
          <w:tcPr>
            <w:tcW w:type="dxa" w:w="1728"/>
          </w:tcPr>
          <w:p>
            <w:r>
              <w:t>73</w:t>
            </w:r>
          </w:p>
        </w:tc>
      </w:tr>
    </w:tbl>
    <w:p/>
    <w:p>
      <w:pPr>
        <w:pStyle w:val="Heading2"/>
      </w:pPr>
      <w:r>
        <w:t>Table 5. Model robustness across varying solar activity levels</w:t>
      </w:r>
    </w:p>
    <w:p>
      <w:r>
        <w:t>Stability of binary accuracy and Large-event recall under different F10.7 solar flux conditions, confirming the success of the spectral homogenization strategy.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Solar Condition</w:t>
            </w:r>
          </w:p>
        </w:tc>
        <w:tc>
          <w:tcPr>
            <w:tcW w:type="dxa" w:w="2160"/>
          </w:tcPr>
          <w:p>
            <w:r>
              <w:t>F10.7 Flux Range (sfu)</w:t>
            </w:r>
          </w:p>
        </w:tc>
        <w:tc>
          <w:tcPr>
            <w:tcW w:type="dxa" w:w="2160"/>
          </w:tcPr>
          <w:p>
            <w:r>
              <w:t>Binary Accuracy</w:t>
            </w:r>
          </w:p>
        </w:tc>
        <w:tc>
          <w:tcPr>
            <w:tcW w:type="dxa" w:w="2160"/>
          </w:tcPr>
          <w:p>
            <w:r>
              <w:t>Large Event Recall</w:t>
            </w:r>
          </w:p>
        </w:tc>
      </w:tr>
      <w:tr>
        <w:tc>
          <w:tcPr>
            <w:tcW w:type="dxa" w:w="2160"/>
          </w:tcPr>
          <w:p>
            <w:r>
              <w:t>Solar Minimum (Quiet)</w:t>
            </w:r>
          </w:p>
        </w:tc>
        <w:tc>
          <w:tcPr>
            <w:tcW w:type="dxa" w:w="2160"/>
          </w:tcPr>
          <w:p>
            <w:r>
              <w:t>&lt; 70</w:t>
            </w:r>
          </w:p>
        </w:tc>
        <w:tc>
          <w:tcPr>
            <w:tcW w:type="dxa" w:w="2160"/>
          </w:tcPr>
          <w:p>
            <w:r>
              <w:t>89.2%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Moderate Activity</w:t>
            </w:r>
          </w:p>
        </w:tc>
        <w:tc>
          <w:tcPr>
            <w:tcW w:type="dxa" w:w="2160"/>
          </w:tcPr>
          <w:p>
            <w:r>
              <w:t>70 - 150</w:t>
            </w:r>
          </w:p>
        </w:tc>
        <w:tc>
          <w:tcPr>
            <w:tcW w:type="dxa" w:w="2160"/>
          </w:tcPr>
          <w:p>
            <w:r>
              <w:t>89.0%</w:t>
            </w:r>
          </w:p>
        </w:tc>
        <w:tc>
          <w:tcPr>
            <w:tcW w:type="dxa" w:w="2160"/>
          </w:tcPr>
          <w:p>
            <w:r>
              <w:t>98.5%</w:t>
            </w:r>
          </w:p>
        </w:tc>
      </w:tr>
      <w:tr>
        <w:tc>
          <w:tcPr>
            <w:tcW w:type="dxa" w:w="2160"/>
          </w:tcPr>
          <w:p>
            <w:r>
              <w:t>Solar Maximum (Active)</w:t>
            </w:r>
          </w:p>
        </w:tc>
        <w:tc>
          <w:tcPr>
            <w:tcW w:type="dxa" w:w="2160"/>
          </w:tcPr>
          <w:p>
            <w:r>
              <w:t>&gt; 150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98.6%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