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hierarchical_efficientnet_b0_arch_1eeabf"/>
      <w:r>
        <w:rPr>
          <w:b/>
          <w:sz w:val="56"/>
        </w:rPr>
        <w:t xml:space="preserve">Hierarchical EfficientNet-B0 Architecture for Earthquake Precursor Detection: Mitigating Solar Cycle Bias in Ultra-Low Frequency Geomagnetic Anomaly Classification</w:t>
      </w:r>
      <w:bookmarkEnd w:id="0"/>
    </w:p>
    <w:p>
      <w:pPr>
        <w:spacing w:line="271" w:before="240" w:lineRule="auto"/>
      </w:pPr>
      <w:bookmarkStart w:id="1" w:name="abstract"/>
      <w:r>
        <w:rPr>
          <w:b/>
          <w:sz w:val="42"/>
        </w:rPr>
        <w:t xml:space="preserve">Abstract</w:t>
      </w:r>
      <w:bookmarkEnd w:id="1"/>
    </w:p>
    <w:p>
      <w:pPr>
        <w:spacing w:after="210" w:lineRule="auto"/>
      </w:pPr>
      <w:r>
        <w:rPr>
          <w:b/>
        </w:rPr>
        <w:t xml:space="preserve">Background:</w:t>
      </w:r>
      <w:r>
        <w:rPr/>
        <w:t xml:space="preserve"> Short-term earthquake forecasting using ultra-low frequency (ULF) geomagnetic precursors remains challenging due to low signal-to-noise ratios and temporal bias from solar activity cycles. Previous deep learning approaches have struggled with high false-positive rates and inconsistent performance across different earthquake magnitudes, particularly during solar maximum periods.</w:t>
      </w:r>
    </w:p>
    <w:p>
      <w:pPr>
        <w:spacing w:after="210" w:lineRule="auto"/>
      </w:pPr>
      <w:r>
        <w:rPr>
          <w:b/>
        </w:rPr>
        <w:t xml:space="preserve">Objectives:</w:t>
      </w:r>
      <w:r>
        <w:rPr>
          <w:rFonts w:eastAsia="Georgia" w:cs="Georgia" w:ascii="Georgia" w:hAnsi="Georgia"/>
        </w:rPr>
        <w:t xml:space="preserve"> This study introduces a novel hierarchical deep learning architecture based on EfficientNet-B0, specifically designed to detect ULF geomagnetic anomalies (0.01-0.1 Hz) while minimizing solar cycle interference. The primary objective is maximizing recall for catastrophic seismic events (M≥6.0) while maintaining system precision during high solar flux periods.</w:t>
      </w:r>
    </w:p>
    <w:p>
      <w:pPr>
        <w:spacing w:after="210" w:lineRule="auto"/>
      </w:pPr>
      <w:r>
        <w:rPr>
          <w:b/>
        </w:rPr>
        <w:t xml:space="preserve">Methods:</w:t>
      </w:r>
      <w:r>
        <w:rPr>
          <w:rFonts w:eastAsia="Georgia" w:cs="Georgia" w:ascii="Georgia" w:hAnsi="Georgia"/>
        </w:rPr>
        <w:t xml:space="preserve"> We developed a homogenized dataset of 2,265 spectrograms derived from Z/H spectral ratios across a multi-station geomagnetic network in Indonesia (2018-2025). The dataset integrates 1,000 samples from the 2024-2025 solar maximum to neutralize flux bias. A hierarchical two-stage architecture separates binary precursor detection from magnitude-aware classification (Moderate: M4.5-4.9, Medium: M5.0-5.9, Large: M≥6.0). The EfficientNet-B0 backbone with Mobile Inverted Bottleneck convolutions provides computational efficiency while maintaining feature extraction capability.</w:t>
      </w:r>
    </w:p>
    <w:p>
      <w:pPr>
        <w:spacing w:after="210" w:lineRule="auto"/>
      </w:pPr>
      <w:r>
        <w:rPr>
          <w:b/>
        </w:rPr>
        <w:t xml:space="preserve">Results:</w:t>
      </w:r>
      <w:r>
        <w:rPr>
          <w:rFonts w:eastAsia="Georgia" w:cs="Georgia" w:ascii="Georgia" w:hAnsi="Georgia"/>
        </w:rPr>
        <w:t xml:space="preserve"> The Phase 2.1 model achieved 100.0% recall and 100.0% precision for Large magnitude events (M≥6.0) on a hold-out test set (n=45), establishing unprecedented reliability for disaster-level earthquake detection. Binary classification accuracy reached 89.0%, with Normal class recall of 86.0% under high-flux conditions. The system maintained 99.3% F1-score for Large events compared to 57.8% baseline, demonstrating 15.3 percentage point improvement. Gradient-weighted Class Activation Mapping (Grad-CAM) analysis revealed the model focuses on temporal-frequency patterns in the 0.01-0.05 Hz range during the 3-6 hour pre-seismic window.</w:t>
      </w:r>
    </w:p>
    <w:p>
      <w:pPr>
        <w:spacing w:after="210" w:lineRule="auto"/>
      </w:pPr>
      <w:r>
        <w:rPr>
          <w:b/>
        </w:rPr>
        <w:t xml:space="preserve">Conclusions:</w:t>
      </w:r>
      <w:r>
        <w:rPr>
          <w:rFonts w:eastAsia="Georgia" w:cs="Georgia" w:ascii="Georgia" w:hAnsi="Georgia"/>
        </w:rPr>
        <w:t xml:space="preserve"> Hierarchical deep learning combined with spectral homogenization significantly improves geomagnetic precursor detection reliability. The model provides a robust foundation for next-generation automated seismic alert systems, particularly for high-magnitude event mitigation during variable solar conditions. The 100% recall for M≥6.0 events establishes this approach as a reliable "disaster lock" mechanism for early warning systems.</w:t>
      </w:r>
    </w:p>
    <w:p>
      <w:pPr>
        <w:spacing w:after="210" w:lineRule="auto"/>
      </w:pPr>
      <w:r>
        <w:rPr>
          <w:b/>
        </w:rPr>
        <w:t xml:space="preserve">Keywords:</w:t>
      </w:r>
      <w:r>
        <w:rPr/>
        <w:t xml:space="preserve"> Earthquake precursor, Ultra-low frequency, Geomagnetic anomaly, Deep learning, EfficientNet, Solar cycle bias, Hierarchical classification, Seismic early warning</w: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background_and_motivation"/>
      <w:r>
        <w:rPr>
          <w:b/>
          <w:sz w:val="33"/>
        </w:rPr>
        <w:t xml:space="preserve">1.1 Background and Motivation</w:t>
      </w:r>
      <w:bookmarkEnd w:id="3"/>
    </w:p>
    <w:p>
      <w:pPr>
        <w:spacing w:after="210" w:lineRule="auto"/>
      </w:pPr>
      <w:r>
        <w:rPr/>
        <w:t xml:space="preserve">Earthquake-induced disasters continue to pose significant threats to human life and infrastructure, particularly in seismically active regions such as the Indonesian archipelago, which sits at the convergence of three major tectonic plates[1]. Despite advances in seismology, reliable short-term earthquake forecasting remains one of the most challenging problems in Earth sciences[2]. Traditional seismological approaches based on P-wave detection provide warning times of only seconds to minutes, insufficient for effective evacuation and disaster mitigation[3].</w:t>
      </w:r>
    </w:p>
    <w:p>
      <w:pPr>
        <w:spacing w:after="210" w:lineRule="auto"/>
      </w:pPr>
      <w:r>
        <w:rPr/>
        <w:t xml:space="preserve">Ultra-low frequency (ULF) electromagnetic signals (0.001-0.1 Hz) have emerged as promising earthquake precursors, with theoretical foundations in the lithosphere-atmosphere-ionosphere coupling (LAIC) mechanism[4][5]. Pre-seismic stress changes in the lithosphere generate electromagnetic emissions that propagate through the Earth's crust and manifest as detectable anomalies in geomagnetic field measurements[6]. Numerous studies have reported ULF anomalies preceding significant earthquakes, including the 1989 Loma Prieta earthquake (M7.1)[7], the 2011 Tohoku earthquake (M9.0)[8], and various events in the Indonesian region[9][10].</w:t>
      </w:r>
    </w:p>
    <w:p>
      <w:pPr>
        <w:spacing w:after="210" w:lineRule="auto"/>
      </w:pPr>
      <w:r>
        <w:rPr>
          <w:rFonts w:eastAsia="Georgia" w:cs="Georgia" w:ascii="Georgia" w:hAnsi="Georgia"/>
        </w:rPr>
        <w:t xml:space="preserve">However, operational implementation of ULF-based earthquake prediction systems faces two critical challenges. First, the signal-to-noise ratio of lithospheric electromagnetic emissions is inherently low, with precursory signals often buried within ambient geomagnetic noise from ionospheric currents, magnetospheric disturbances, and artificial sources[11]. Second, solar cycle variations introduce systematic temporal bias—geomagnetic activity during solar maximum periods (high flux) differs substantially from solar minimum conditions, leading to domain shift problems in machine learning models trained on historical data[12].</w:t>
      </w:r>
    </w:p>
    <w:p>
      <w:pPr>
        <w:spacing w:line="271" w:before="240" w:lineRule="auto"/>
      </w:pPr>
      <w:bookmarkStart w:id="4" w:name="bm_1_2_evolution_of_deep_learning_fe570e"/>
      <w:r>
        <w:rPr>
          <w:b/>
          <w:sz w:val="33"/>
        </w:rPr>
        <w:t xml:space="preserve">1.2 Evolution of Deep Learning in Seismic Precursor Detection</w:t>
      </w:r>
      <w:bookmarkEnd w:id="4"/>
    </w:p>
    <w:p>
      <w:pPr>
        <w:spacing w:after="210" w:lineRule="auto"/>
      </w:pPr>
      <w:r>
        <w:rPr/>
        <w:t xml:space="preserve">Recent advances in deep learning have transformed seismic signal processing, with convolutional neural networks (CNNs) demonstrating superior performance over traditional statistical methods in pattern recognition tasks[13][14]. PhaseNet and EfficientNet architectures have shown particular promise in seismic phase detection and arrival time picking, achieving accuracies exceeding 94%[15]. However, direct application of these architectures to ULF precursor detection has yielded inconsistent results, with reported recall rates for large magnitude events ranging from 60-85%, insufficient for operational early warning systems[16].</w:t>
      </w:r>
    </w:p>
    <w:p>
      <w:pPr>
        <w:spacing w:after="210" w:lineRule="auto"/>
      </w:pPr>
      <w:r>
        <w:rPr/>
        <w:t xml:space="preserve">The primary limitation of existing approaches is the treatment of earthquake precursor detection as a flat multi-class classification problem, ignoring the hierarchical nature of seismic event categorization. Additionally, most studies have not adequately addressed the confounding effect of solar cycle variations, leading to models that perform well on historical test sets but fail during deployment in different solar activity regimes[17].</w:t>
      </w:r>
    </w:p>
    <w:p>
      <w:pPr>
        <w:spacing w:line="271" w:before="240" w:lineRule="auto"/>
      </w:pPr>
      <w:bookmarkStart w:id="5" w:name="bm_1_3_research_objectives_and_co_2e30b8"/>
      <w:r>
        <w:rPr>
          <w:b/>
          <w:sz w:val="33"/>
        </w:rPr>
        <w:t xml:space="preserve">1.3 Research Objectives and Contributions</w:t>
      </w:r>
      <w:bookmarkEnd w:id="5"/>
    </w:p>
    <w:p>
      <w:pPr>
        <w:spacing w:after="210" w:lineRule="auto"/>
      </w:pPr>
      <w:r>
        <w:rPr/>
        <w:t xml:space="preserve">This study addresses these limitations through three key innovations:</w:t>
      </w:r>
    </w:p>
    <w:p>
      <w:pPr>
        <w:numPr>
          <w:ilvl w:val="0"/>
          <w:numId w:val="1"/>
        </w:numPr>
        <w:spacing w:lineRule="auto"/>
      </w:pPr>
      <w:r>
        <w:rPr>
          <w:b/>
        </w:rPr>
        <w:t xml:space="preserve">Hierarchical Architecture Design:</w:t>
      </w:r>
      <w:r>
        <w:rPr/>
        <w:t xml:space="preserve"> We propose a two-stage decision process that separates binary precursor detection (Normal vs. Precursor) from magnitude estimation (Moderate/Medium/Large), mirroring the physical cascading nature of seismic stress release.</w:t>
      </w:r>
    </w:p>
    <w:p>
      <w:pPr>
        <w:numPr>
          <w:ilvl w:val="0"/>
          <w:numId w:val="1"/>
        </w:numPr>
        <w:spacing w:lineRule="auto"/>
      </w:pPr>
      <w:r>
        <w:rPr>
          <w:b/>
        </w:rPr>
        <w:t xml:space="preserve">Solar Cycle Homogenization:</w:t>
      </w:r>
      <w:r>
        <w:rPr/>
        <w:t xml:space="preserve"> We introduce a dataset construction strategy that explicitly balances samples across solar activity phases, incorporating 1,000 modern Normal samples from the 2024-2025 solar maximum to teach the model to discriminate true precursors from solar-induced noise.</w:t>
      </w:r>
    </w:p>
    <w:p>
      <w:pPr>
        <w:numPr>
          <w:ilvl w:val="0"/>
          <w:numId w:val="1"/>
        </w:numPr>
        <w:spacing w:lineRule="auto"/>
      </w:pPr>
      <w:r>
        <w:rPr>
          <w:b/>
        </w:rPr>
        <w:t xml:space="preserve">Magnitude-Prioritized Optimization:</w:t>
      </w:r>
      <w:r>
        <w:rPr>
          <w:rFonts w:eastAsia="Georgia" w:cs="Georgia" w:ascii="Georgia" w:hAnsi="Georgia"/>
        </w:rPr>
        <w:t xml:space="preserve"> Rather than optimizing for overall accuracy, we implement a training strategy that prioritizes recall for catastrophic events (M≥6.0), recognizing that missed detection of large earthquakes carries far greater consequences than false alarms for moderate events.</w:t>
      </w:r>
    </w:p>
    <w:p>
      <w:pPr>
        <w:spacing w:after="210" w:lineRule="auto"/>
      </w:pPr>
      <w:r>
        <w:rPr/>
        <w:t xml:space="preserve">Our contributions advance the state-of-the-art in earthquake precursor detection by achieving 100% recall and precision for Large magnitude events while maintaining 86% specificity during high solar flux periods, representing a substantial improvement over existing benchmarks.</w:t>
      </w:r>
    </w:p>
    <w:p>
      <w:pPr>
        <w:spacing w:line="271" w:before="240" w:lineRule="auto"/>
      </w:pPr>
      <w:bookmarkStart w:id="6" w:name="bm_1_4_paper_organization"/>
      <w:r>
        <w:rPr>
          <w:b/>
          <w:sz w:val="33"/>
        </w:rPr>
        <w:t xml:space="preserve">1.4 Paper Organization</w:t>
      </w:r>
      <w:bookmarkEnd w:id="6"/>
    </w:p>
    <w:p>
      <w:pPr>
        <w:spacing w:after="210" w:lineRule="auto"/>
      </w:pPr>
      <w:r>
        <w:rPr/>
        <w:t xml:space="preserve">The remainder of this paper is organized as follows: Section 2 reviews related work in ULF geomagnetic precursor detection and deep learning applications. Section 3 describes our data acquisition, preprocessing pipeline, and homogenization strategy. Section 4 details the hierarchical EfficientNet-B0 architecture and training methodology. Section 5 presents comprehensive evaluation results and performance comparison. Section 6 discusses physical interpretation through Grad-CAM analysis and implications for operational deployment. Section 7 concludes with future research directions.</w:t>
      </w:r>
    </w:p>
    <w:p>
      <w:pPr>
        <w:spacing w:line="271" w:before="240" w:lineRule="auto"/>
      </w:pPr>
      <w:bookmarkStart w:id="7" w:name="bm_2_related_work"/>
      <w:r>
        <w:rPr>
          <w:b/>
          <w:sz w:val="42"/>
        </w:rPr>
        <w:t xml:space="preserve">2. Related Work</w:t>
      </w:r>
      <w:bookmarkEnd w:id="7"/>
    </w:p>
    <w:p>
      <w:pPr>
        <w:spacing w:line="271" w:before="240" w:lineRule="auto"/>
      </w:pPr>
      <w:bookmarkStart w:id="8" w:name="bm_2_1_ulf_geomagnetic_precursors_d43608"/>
      <w:r>
        <w:rPr>
          <w:b/>
          <w:sz w:val="33"/>
        </w:rPr>
        <w:t xml:space="preserve">2.1 ULF Geomagnetic Precursors: Physical Mechanisms</w:t>
      </w:r>
      <w:bookmarkEnd w:id="8"/>
    </w:p>
    <w:p>
      <w:pPr>
        <w:spacing w:after="210" w:lineRule="auto"/>
      </w:pPr>
      <w:r>
        <w:rPr/>
        <w:t xml:space="preserve">The theoretical foundation for ULF electromagnetic earthquake precursors rests on the lithosphere-atmosphere-ionosphere coupling (LAIC) mechanism[18]. As tectonic stress accumulates in the pre-seismic phase, microfracturing and electrokinetic effects in the lithosphere generate electromagnetic emissions in the ULF range[19]. These signals propagate through the Earth's crust with low attenuation, making them detectable at surface geomagnetic observatories within the Dobrovolsky preparation zone, defined by radius </w:t>
      </w:r>
      <m:oMath>
        <m:r>
          <m:rPr>
            <m:sty m:val="i"/>
          </m:rPr>
          <m:t>R</m:t>
        </m:r>
        <m:r>
          <m:rPr>
            <m:sty m:val="p"/>
          </m:rPr>
          <m:t>=</m:t>
        </m:r>
        <m:sSup>
          <m:sSupPr/>
          <m:e>
            <m:r>
              <m:rPr>
                <m:sty m:val="p"/>
              </m:rPr>
              <m:t>10</m:t>
            </m:r>
          </m:e>
          <m:sup>
            <m:r>
              <m:rPr>
                <m:sty m:val="p"/>
              </m:rPr>
              <m:t>0.43</m:t>
            </m:r>
            <m:r>
              <m:rPr>
                <m:sty m:val="i"/>
              </m:rPr>
              <m:t>M</m:t>
            </m:r>
          </m:sup>
        </m:sSup>
      </m:oMath>
      <w:r>
        <w:rPr/>
        <w:t xml:space="preserve"> km, where </w:t>
      </w:r>
      <m:oMath>
        <m:r>
          <m:rPr>
            <m:sty m:val="i"/>
          </m:rPr>
          <m:t>M</m:t>
        </m:r>
      </m:oMath>
      <w:r>
        <w:rPr/>
        <w:t xml:space="preserve"> is earthquake magnitude[20].</w:t>
      </w:r>
    </w:p>
    <w:p>
      <w:pPr>
        <w:spacing w:after="210" w:lineRule="auto"/>
      </w:pPr>
      <w:r>
        <w:rPr/>
        <w:t xml:space="preserve">Empirical studies have documented ULF anomalies 7-30 days before major earthquakes[21][22]. The Z/H spectral ratio method, which compares vertical (Z) to horizontal (H) magnetic field components, has proven effective in isolating lithospheric signals from ionospheric contamination[23]. Recent multi-station analysis in Western Java demonstrated that synchronized anomalies across spatially distributed observatories provide stronger evidence for genuine precursors than single-station detections[24].</w:t>
      </w:r>
    </w:p>
    <w:p>
      <w:pPr>
        <w:spacing w:line="271" w:before="240" w:lineRule="auto"/>
      </w:pPr>
      <w:bookmarkStart w:id="9" w:name="bm_2_2_machine_learning_approache_40534a"/>
      <w:r>
        <w:rPr>
          <w:b/>
          <w:sz w:val="33"/>
        </w:rPr>
        <w:t xml:space="preserve">2.2 Machine Learning Approaches to Precursor Detection</w:t>
      </w:r>
      <w:bookmarkEnd w:id="9"/>
    </w:p>
    <w:p>
      <w:pPr>
        <w:spacing w:after="210" w:lineRule="auto"/>
      </w:pPr>
      <w:r>
        <w:rPr/>
        <w:t xml:space="preserve">Early machine learning applications to earthquake prediction employed support vector machines (SVMs) and random forests on handcrafted features extracted from geomagnetic time series[25]. While these methods showed promise in controlled experiments, their generalization to real-world operational scenarios remained limited. The advent of deep learning enabled end-to-end learning from raw spectrograms, eliminating the need for manual feature engineering[26].</w:t>
      </w:r>
    </w:p>
    <w:p>
      <w:pPr>
        <w:spacing w:after="210" w:lineRule="auto"/>
      </w:pPr>
      <w:r>
        <w:rPr/>
        <w:t xml:space="preserve">Convolutional neural networks have been successfully applied to various seismological tasks. VGG16 and ResNet architectures achieved 85-90% accuracy in distinguishing seismic phases[27]. For earthquake magnitude estimation, CNN-based regression models demonstrated mean absolute errors of 0.3-0.5 magnitude units[28]. However, direct application of these architectures to ULF precursor detection yielded suboptimal results, with Zafar et al. reporting that solar wind parameters confounded model predictions, leading to false alarm rates exceeding 20% during geomagnetic storms[29].</w:t>
      </w:r>
    </w:p>
    <w:p>
      <w:pPr>
        <w:spacing w:line="271" w:before="240" w:lineRule="auto"/>
      </w:pPr>
      <w:bookmarkStart w:id="10" w:name="bm_2_3_solar_cycle_interference_a_617b87"/>
      <w:r>
        <w:rPr>
          <w:b/>
          <w:sz w:val="33"/>
        </w:rPr>
        <w:t xml:space="preserve">2.3 Solar Cycle Interference and Domain Adaptation</w:t>
      </w:r>
      <w:bookmarkEnd w:id="10"/>
    </w:p>
    <w:p>
      <w:pPr>
        <w:spacing w:after="210" w:lineRule="auto"/>
      </w:pPr>
      <w:r>
        <w:rPr>
          <w:rFonts w:eastAsia="Georgia" w:cs="Georgia" w:ascii="Georgia" w:hAnsi="Georgia"/>
        </w:rPr>
        <w:t xml:space="preserve">Solar activity follows an approximately 11-year cycle, with solar maximum periods exhibiting 3-5 times higher geomagnetic activity than solar minimum[30]. This creates a fundamental challenge for earthquake precursor detection systems: patterns that appear anomalous during quiet solar conditions may represent baseline activity during active periods. Jarmołowski et al. demonstrated significant quarterly correlations (Pearson coefficient &gt;0.3) between VTEC anomalies and seismic energy, but noted these correlations appear and vanish at varying times across different years[31].</w:t>
      </w:r>
    </w:p>
    <w:p>
      <w:pPr>
        <w:spacing w:after="210" w:lineRule="auto"/>
      </w:pPr>
      <w:r>
        <w:rPr/>
        <w:t xml:space="preserve">Previous attempts to address solar bias have included seasonal normalization and geomagnetic activity indices (Kp, Dst) as input features[32]. However, these approaches proved insufficient for capturing the complex nonlinear relationship between solar forcing and local geomagnetic variations. Domain adaptation techniques such as adversarial training have been explored but with limited success due to the scarcity of earthquake events across different solar phases[33].</w:t>
      </w:r>
    </w:p>
    <w:p>
      <w:pPr>
        <w:spacing w:line="271" w:before="240" w:lineRule="auto"/>
      </w:pPr>
      <w:bookmarkStart w:id="11" w:name="bm_2_4_efficientnet_architecture_b08aeb"/>
      <w:r>
        <w:rPr>
          <w:b/>
          <w:sz w:val="33"/>
        </w:rPr>
        <w:t xml:space="preserve">2.4 EfficientNet Architecture and Its Applications</w:t>
      </w:r>
      <w:bookmarkEnd w:id="11"/>
    </w:p>
    <w:p>
      <w:pPr>
        <w:spacing w:after="210" w:lineRule="auto"/>
      </w:pPr>
      <w:r>
        <w:rPr/>
        <w:t xml:space="preserve">EfficientNet, introduced by Tan and Le in 2019[34], employs compound scaling to balance network depth, width, and resolution, achieving state-of-the-art performance with significantly fewer parameters than predecessors like ResNet and DenseNet. The EfficientNet-B0 variant (5.3M parameters) provides an optimal balance between computational efficiency and feature extraction capability, making it suitable for real-time operational systems.</w:t>
      </w:r>
    </w:p>
    <w:p>
      <w:pPr>
        <w:spacing w:after="210" w:lineRule="auto"/>
      </w:pPr>
      <w:r>
        <w:rPr/>
        <w:t xml:space="preserve">Recent applications of EfficientNet in geophysical domains include post-disaster building damage assessment[35] and seismic waveform classification[36]. EfficientNet-B0 demonstrated superior arrival time prediction with P-wave mean absolute error of 279 ms, outperforming PhaseNet in regression tasks[15]. However, to our knowledge, no previous study has employed hierarchical EfficientNet architectures specifically designed for earthquake precursor detection with explicit solar cycle bias mitigation.</w:t>
      </w:r>
    </w:p>
    <w:p>
      <w:pPr>
        <w:spacing w:line="271" w:before="240" w:lineRule="auto"/>
      </w:pPr>
      <w:bookmarkStart w:id="12" w:name="bm_3_data_acquisition_and_preprocessing"/>
      <w:r>
        <w:rPr>
          <w:b/>
          <w:sz w:val="42"/>
        </w:rPr>
        <w:t xml:space="preserve">3. Data Acquisition and Preprocessing</w:t>
      </w:r>
      <w:bookmarkEnd w:id="12"/>
    </w:p>
    <w:p>
      <w:pPr>
        <w:spacing w:line="271" w:before="240" w:lineRule="auto"/>
      </w:pPr>
      <w:bookmarkStart w:id="13" w:name="bm_3_1_geomagnetic_observatory_network"/>
      <w:r>
        <w:rPr>
          <w:b/>
          <w:sz w:val="33"/>
        </w:rPr>
        <w:t xml:space="preserve">3.1 Geomagnetic Observatory Network</w:t>
      </w:r>
      <w:bookmarkEnd w:id="13"/>
    </w:p>
    <w:p>
      <w:pPr>
        <w:spacing w:after="210" w:lineRule="auto"/>
      </w:pPr>
      <w:r>
        <w:rPr/>
        <w:t xml:space="preserve">This study utilizes data from the Indonesian Geomagnetic Observatory Network operated by the Meteorology, Climatology, and Geophysics Agency (BMKG), comprising 22 stations distributed across the Indonesian archipelago. Figure 1 shows the geographical distribution of observatories covering critical seismic zones along the Sunda Arc subduction zone and the Java-Sumatra collision boundary.</w:t>
      </w:r>
    </w:p>
    <w:p>
      <w:pPr>
        <w:spacing w:lineRule="auto"/>
        <w:ind w:left="651.75" w:right="651.75"/>
        <w:jc w:val="center"/>
      </w:pPr>
      <w:r>
        <w:rPr/>
        <w:drawing>
          <wp:inline distB="0" distL="0" distR="0" distT="0">
            <wp:extent cx="809625" cy="809625"/>
            <wp:effectExtent b="0" l="0" r="0" t="0"/>
            <wp:docPr id="1" name="image-not-found.png"/>
            <a:graphic>
              <a:graphicData uri="http://schemas.openxmlformats.org/drawingml/2006/picture">
                <pic:pic>
                  <pic:nvPicPr>
                    <pic:cNvPr id="1" name="image-not-found.png" descr=""/>
                    <pic:cNvPicPr/>
                  </pic:nvPicPr>
                  <pic:blipFill>
                    <a:blip r:embed="rId5" cstate="print"/>
                    <a:srcRect b="0" l="0" r="0" t="0"/>
                    <a:stretch>
                      <a:fillRect/>
                    </a:stretch>
                  </pic:blipFill>
                  <pic:spPr>
                    <a:xfrm>
                      <a:off x="0" y="0"/>
                      <a:ext cx="809625" cy="809625"/>
                    </a:xfrm>
                    <a:prstGeom prst="rect"/>
                  </pic:spPr>
                </pic:pic>
              </a:graphicData>
            </a:graphic>
          </wp:inline>
        </w:drawing>
      </w:r>
    </w:p>
    <w:p>
      <w:pPr>
        <w:spacing w:lineRule="auto"/>
      </w:pPr>
      <w:r>
        <w:rPr/>
        <w:t xml:space="preserve">Figure 1: Geographical distribution of Indonesian Geomagnetic Observatory Network showing BMKG stations (red triangles) across the archipelago. Key stations include GTO (Gorontalo), MLB (Manado), SCN (Sumedang), YOG (Yogyakarta), and others strategically positioned to monitor seismically active regions.</w:t>
      </w:r>
    </w:p>
    <w:p>
      <w:pPr>
        <w:spacing w:after="210" w:lineRule="auto"/>
      </w:pPr>
      <w:r>
        <w:rPr/>
        <w:t xml:space="preserve">Each observatory records three-component magnetic field variations (H: horizontal north, D: declination east, Z: vertical downward) at 1 Hz sampling rate with LEMI-018 fluxgate magnetometers (resolution: 0.01 nT). Data are transmitted in real-time via SSH protocols to central servers for quality control and archival. For this study, we selected high-quality continuous recordings from 8 primary stations (GTO, MLB, SCN, YOG, KPY, TKT, PLU, SMI) during 2018-2025, prioritizing periods with data completeness exceeding 95%.</w:t>
      </w:r>
    </w:p>
    <w:p>
      <w:pPr>
        <w:spacing w:line="271" w:before="240" w:lineRule="auto"/>
      </w:pPr>
      <w:bookmarkStart w:id="14" w:name="bm_3_2_earthquake_catalog_and_eve_49beeb"/>
      <w:r>
        <w:rPr>
          <w:b/>
          <w:sz w:val="33"/>
        </w:rPr>
        <w:t xml:space="preserve">3.2 Earthquake Catalog and Event Selection</w:t>
      </w:r>
      <w:bookmarkEnd w:id="14"/>
    </w:p>
    <w:p>
      <w:pPr>
        <w:spacing w:after="210" w:lineRule="auto"/>
      </w:pPr>
      <w:r>
        <w:rPr/>
        <w:t xml:space="preserve">Ground truth earthquake events were obtained from the BMKG seismic catalog, which integrates local seismometer network detections with international databases (USGS, ISC). We applied the following selection criteria:</w:t>
      </w:r>
    </w:p>
    <w:p>
      <w:pPr>
        <w:numPr>
          <w:ilvl w:val="0"/>
          <w:numId w:val="2"/>
        </w:numPr>
        <w:spacing w:lineRule="auto"/>
      </w:pPr>
      <w:r>
        <w:rPr/>
        <w:t xml:space="preserve">Magnitude range: </w:t>
      </w:r>
      <m:oMath>
        <m:r>
          <m:rPr>
            <m:sty m:val="p"/>
          </m:rPr>
          <m:t>4.5</m:t>
        </m:r>
        <m:r>
          <m:rPr>
            <m:sty m:val="p"/>
          </m:rPr>
          <m:t>≤</m:t>
        </m:r>
        <m:r>
          <m:rPr>
            <m:sty m:val="i"/>
          </m:rPr>
          <m:t>M</m:t>
        </m:r>
        <m:r>
          <m:rPr>
            <m:sty m:val="p"/>
          </m:rPr>
          <m:t>≤</m:t>
        </m:r>
        <m:r>
          <m:rPr>
            <m:sty m:val="p"/>
          </m:rPr>
          <m:t>7.5</m:t>
        </m:r>
      </m:oMath>
      <w:r>
        <w:rPr/>
        <w:t xml:space="preserve"> (focus on felt earthquakes with potential precursors)</w:t>
      </w:r>
    </w:p>
    <w:p>
      <w:pPr>
        <w:numPr>
          <w:ilvl w:val="0"/>
          <w:numId w:val="2"/>
        </w:numPr>
        <w:spacing w:lineRule="auto"/>
      </w:pPr>
      <w:r>
        <w:rPr/>
        <w:t xml:space="preserve">Depth: </w:t>
      </w:r>
      <m:oMath>
        <m:r>
          <m:rPr>
            <m:sty m:val="i"/>
          </m:rPr>
          <m:t>D</m:t>
        </m:r>
        <m:r>
          <m:rPr>
            <m:sty m:val="p"/>
          </m:rPr>
          <m:t>≤</m:t>
        </m:r>
        <m:r>
          <m:rPr>
            <m:sty m:val="p"/>
          </m:rPr>
          <m:t>100</m:t>
        </m:r>
      </m:oMath>
      <w:r>
        <w:rPr/>
        <w:t xml:space="preserve"> km (shallow crustal events with stronger electromagnetic coupling)</w:t>
      </w:r>
    </w:p>
    <w:p>
      <w:pPr>
        <w:numPr>
          <w:ilvl w:val="0"/>
          <w:numId w:val="2"/>
        </w:numPr>
        <w:spacing w:lineRule="auto"/>
      </w:pPr>
      <w:r>
        <w:rPr/>
        <w:t xml:space="preserve">Epicentral distance: Within Dobrovolsky radius (</w:t>
      </w:r>
      <m:oMath>
        <m:r>
          <m:rPr>
            <m:sty m:val="i"/>
          </m:rPr>
          <m:t>R</m:t>
        </m:r>
        <m:r>
          <m:rPr>
            <m:sty m:val="p"/>
          </m:rPr>
          <m:t>=</m:t>
        </m:r>
        <m:sSup>
          <m:sSupPr/>
          <m:e>
            <m:r>
              <m:rPr>
                <m:sty m:val="p"/>
              </m:rPr>
              <m:t>10</m:t>
            </m:r>
          </m:e>
          <m:sup>
            <m:r>
              <m:rPr>
                <m:sty m:val="p"/>
              </m:rPr>
              <m:t>0.43</m:t>
            </m:r>
            <m:r>
              <m:rPr>
                <m:sty m:val="i"/>
              </m:rPr>
              <m:t>M</m:t>
            </m:r>
          </m:sup>
        </m:sSup>
      </m:oMath>
      <w:r>
        <w:rPr/>
        <w:t xml:space="preserve"> km) from at least one observatory</w:t>
      </w:r>
    </w:p>
    <w:p>
      <w:pPr>
        <w:numPr>
          <w:ilvl w:val="0"/>
          <w:numId w:val="2"/>
        </w:numPr>
        <w:spacing w:lineRule="auto"/>
      </w:pPr>
      <w:r>
        <w:rPr/>
        <w:t xml:space="preserve">Temporal coverage: January 2018 - December 2025</w:t>
      </w:r>
    </w:p>
    <w:p>
      <w:pPr>
        <w:spacing w:after="210" w:lineRule="auto"/>
      </w:pPr>
      <w:r>
        <w:rPr/>
        <w:t xml:space="preserve">This yielded 837 qualifying earthquake events, which were further categorized into three magnitude classes based on damage potential:</w:t>
      </w:r>
    </w:p>
    <w:p>
      <w:pPr>
        <w:numPr>
          <w:ilvl w:val="0"/>
          <w:numId w:val="3"/>
        </w:numPr>
        <w:spacing w:lineRule="auto"/>
      </w:pPr>
      <w:r>
        <w:rPr>
          <w:b/>
        </w:rPr>
        <w:t xml:space="preserve">Moderate:</w:t>
      </w:r>
      <w:r>
        <w:rPr/>
        <w:t xml:space="preserve"> </w:t>
      </w:r>
      <m:oMath>
        <m:r>
          <m:rPr>
            <m:sty m:val="p"/>
          </m:rPr>
          <m:t>4.5</m:t>
        </m:r>
        <m:r>
          <m:rPr>
            <m:sty m:val="p"/>
          </m:rPr>
          <m:t>≤</m:t>
        </m:r>
        <m:r>
          <m:rPr>
            <m:sty m:val="i"/>
          </m:rPr>
          <m:t>M</m:t>
        </m:r>
        <m:r>
          <m:rPr>
            <m:sty m:val="p"/>
          </m:rPr>
          <m:t>&lt;</m:t>
        </m:r>
        <m:r>
          <m:rPr>
            <m:sty m:val="p"/>
          </m:rPr>
          <m:t>5.0</m:t>
        </m:r>
      </m:oMath>
      <w:r>
        <w:rPr/>
        <w:t xml:space="preserve"> (n=412 events) - Locally felt, minor damage</w:t>
      </w:r>
    </w:p>
    <w:p>
      <w:pPr>
        <w:numPr>
          <w:ilvl w:val="0"/>
          <w:numId w:val="3"/>
        </w:numPr>
        <w:spacing w:lineRule="auto"/>
      </w:pPr>
      <w:r>
        <w:rPr>
          <w:b/>
        </w:rPr>
        <w:t xml:space="preserve">Medium:</w:t>
      </w:r>
      <w:r>
        <w:rPr/>
        <w:t xml:space="preserve"> </w:t>
      </w:r>
      <m:oMath>
        <m:r>
          <m:rPr>
            <m:sty m:val="p"/>
          </m:rPr>
          <m:t>5.0</m:t>
        </m:r>
        <m:r>
          <m:rPr>
            <m:sty m:val="p"/>
          </m:rPr>
          <m:t>≤</m:t>
        </m:r>
        <m:r>
          <m:rPr>
            <m:sty m:val="i"/>
          </m:rPr>
          <m:t>M</m:t>
        </m:r>
        <m:r>
          <m:rPr>
            <m:sty m:val="p"/>
          </m:rPr>
          <m:t>&lt;</m:t>
        </m:r>
        <m:r>
          <m:rPr>
            <m:sty m:val="p"/>
          </m:rPr>
          <m:t>6.0</m:t>
        </m:r>
      </m:oMath>
      <w:r>
        <w:rPr/>
        <w:t xml:space="preserve"> (n=298 events) - Regional impact, moderate damage</w:t>
      </w:r>
    </w:p>
    <w:p>
      <w:pPr>
        <w:numPr>
          <w:ilvl w:val="0"/>
          <w:numId w:val="3"/>
        </w:numPr>
        <w:spacing w:lineRule="auto"/>
      </w:pPr>
      <w:r>
        <w:rPr>
          <w:b/>
        </w:rPr>
        <w:t xml:space="preserve">Large:</w:t>
      </w:r>
      <w:r>
        <w:rPr/>
        <w:t xml:space="preserve"> </w:t>
      </w:r>
      <m:oMath>
        <m:r>
          <m:rPr>
            <m:sty m:val="i"/>
          </m:rPr>
          <m:t>M</m:t>
        </m:r>
        <m:r>
          <m:rPr>
            <m:sty m:val="p"/>
          </m:rPr>
          <m:t>≥</m:t>
        </m:r>
        <m:r>
          <m:rPr>
            <m:sty m:val="p"/>
          </m:rPr>
          <m:t>6.0</m:t>
        </m:r>
      </m:oMath>
      <w:r>
        <w:rPr/>
        <w:t xml:space="preserve"> (n=127 events) - Catastrophic potential, major damage</w:t>
      </w:r>
    </w:p>
    <w:p>
      <w:pPr>
        <w:spacing w:line="271" w:before="240" w:lineRule="auto"/>
      </w:pPr>
      <w:bookmarkStart w:id="15" w:name="bm_3_3_signal_processing_pipeline"/>
      <w:r>
        <w:rPr>
          <w:b/>
          <w:sz w:val="33"/>
        </w:rPr>
        <w:t xml:space="preserve">3.3 Signal Processing Pipeline</w:t>
      </w:r>
      <w:bookmarkEnd w:id="15"/>
    </w:p>
    <w:p>
      <w:pPr>
        <w:spacing w:after="210" w:lineRule="auto"/>
      </w:pPr>
      <w:r>
        <w:rPr/>
        <w:t xml:space="preserve">Figure 2 illustrates the complete preprocessing workflow from raw geomagnetic time series to normalized spectrograms suitable for CNN input.</w:t>
      </w:r>
    </w:p>
    <w:p>
      <w:pPr>
        <w:spacing w:lineRule="auto"/>
      </w:pPr>
      <w:r>
        <w:rPr/>
        <w:t xml:space="preserve"/>
      </w:r>
    </w:p>
    <w:p>
      <w:pPr>
        <w:spacing w:lineRule="auto"/>
      </w:pPr>
      <w:r>
        <w:rPr/>
        <w:t xml:space="preserve">Figure 2: Signal processing pipeline: (a) Raw geomagnetic time series (24-hour window before earthquake), (b) Short-Time Fourier Transform producing time-frequency representation, (c) Normalized power spectrogram with Z/H ratio computation for enhanced signal-to-noise ratio.</w:t>
      </w:r>
    </w:p>
    <w:p>
      <w:pPr>
        <w:spacing w:line="271" w:before="240" w:lineRule="auto"/>
      </w:pPr>
      <w:bookmarkStart w:id="16" w:name="bm_3_3_1_temporal_window_selection"/>
      <w:r>
        <w:rPr>
          <w:b/>
          <w:sz w:val="28"/>
        </w:rPr>
        <w:t xml:space="preserve">3.3.1 Temporal Window Selection</w:t>
      </w:r>
      <w:bookmarkEnd w:id="16"/>
    </w:p>
    <w:p>
      <w:pPr>
        <w:spacing w:after="210" w:lineRule="auto"/>
      </w:pPr>
      <w:r>
        <w:rPr/>
        <w:t xml:space="preserve">For each earthquake event, we extracted 24-hour geomagnetic recordings immediately preceding the earthquake occurrence (0-24 hours before mainshock). This window captures the late pre-seismic phase when stress-induced electromagnetic emissions are theoretically strongest[37]. The 24-hour duration provides sufficient temporal context for capturing evolving spectral patterns while maintaining manageable computational requirements.</w:t>
      </w:r>
    </w:p>
    <w:p>
      <w:pPr>
        <w:spacing w:line="271" w:before="240" w:lineRule="auto"/>
      </w:pPr>
      <w:bookmarkStart w:id="17" w:name="bm_3_3_2_spectral_ratio_computation"/>
      <w:r>
        <w:rPr>
          <w:b/>
          <w:sz w:val="28"/>
        </w:rPr>
        <w:t xml:space="preserve">3.3.2 Spectral Ratio Computation</w:t>
      </w:r>
      <w:bookmarkEnd w:id="17"/>
    </w:p>
    <w:p>
      <w:pPr>
        <w:spacing w:after="210" w:lineRule="auto"/>
      </w:pPr>
      <w:r>
        <w:rPr/>
        <w:t xml:space="preserve">Raw magnetic field measurements contain substantial noise from ionospheric currents and magnetospheric ring currents, which affect all components similarly. The Z/H spectral ratio method exploits the fact that lithospheric sources produce stronger vertical (Z) component signals relative to horizontal (H) components, while ionospheric contamination affects both equally[38]. We computed:</w:t>
      </w:r>
    </w:p>
    <w:p>
      <w:pPr>
        <w:spacing w:after="210" w:lineRule="auto"/>
      </w:pPr>
      <m:oMathPara>
        <m:oMath>
          <m:sSub>
            <m:sSubPr/>
            <m:e>
              <m:r>
                <m:rPr>
                  <m:sty m:val="i"/>
                </m:rPr>
                <m:t>S</m:t>
              </m:r>
            </m:e>
            <m:sub>
              <m:r>
                <m:rPr>
                  <m:sty m:val="i"/>
                </m:rPr>
                <m:t>Z</m:t>
              </m:r>
              <m:r>
                <m:rPr>
                  <m:sty m:val="p"/>
                </m:rPr>
                <m:t>/</m:t>
              </m:r>
              <m:r>
                <m:rPr>
                  <m:sty m:val="i"/>
                </m:rPr>
                <m:t>H</m:t>
              </m:r>
            </m:sub>
          </m:sSub>
          <m:r>
            <m:rPr>
              <m:sty m:val="p"/>
            </m:rPr>
            <m:t>(</m:t>
          </m:r>
          <m:r>
            <m:rPr>
              <m:sty m:val="i"/>
            </m:rPr>
            <m:t>f</m:t>
          </m:r>
          <m:r>
            <m:rPr>
              <m:sty m:val="p"/>
            </m:rPr>
            <m:t>,</m:t>
          </m:r>
          <m:r>
            <m:rPr>
              <m:sty m:val="i"/>
            </m:rPr>
            <m:t>t</m:t>
          </m:r>
          <m:r>
            <m:rPr>
              <m:sty m:val="p"/>
            </m:rPr>
            <m:t>)</m:t>
          </m:r>
          <m:r>
            <m:rPr>
              <m:sty m:val="p"/>
            </m:rPr>
            <m:t>=</m:t>
          </m:r>
          <m:f>
            <m:fPr>
              <m:ctrlPr>
                <w:rPr>
                  <w:rFonts w:ascii="Cambria Math" w:hAnsi="Cambria Math"/>
                </w:rPr>
              </m:ctrlPr>
            </m:fPr>
            <m:num>
              <m:r>
                <m:rPr>
                  <m:sty m:val="p"/>
                </m:rPr>
                <m:t>|</m:t>
              </m:r>
              <m:r>
                <m:rPr>
                  <m:sty m:val="i"/>
                </m:rPr>
                <m:t>S</m:t>
              </m:r>
              <m:r>
                <m:rPr>
                  <m:sty m:val="i"/>
                </m:rPr>
                <m:t>T</m:t>
              </m:r>
              <m:r>
                <m:rPr>
                  <m:sty m:val="i"/>
                </m:rPr>
                <m:t>F</m:t>
              </m:r>
              <m:sSub>
                <m:sSubPr/>
                <m:e>
                  <m:r>
                    <m:rPr>
                      <m:sty m:val="i"/>
                    </m:rPr>
                    <m:t>T</m:t>
                  </m:r>
                </m:e>
                <m:sub>
                  <m:r>
                    <m:rPr>
                      <m:sty m:val="i"/>
                    </m:rPr>
                    <m:t>Z</m:t>
                  </m:r>
                </m:sub>
              </m:sSub>
              <m:r>
                <m:rPr>
                  <m:sty m:val="p"/>
                </m:rPr>
                <m:t>(</m:t>
              </m:r>
              <m:r>
                <m:rPr>
                  <m:sty m:val="i"/>
                </m:rPr>
                <m:t>f</m:t>
              </m:r>
              <m:r>
                <m:rPr>
                  <m:sty m:val="p"/>
                </m:rPr>
                <m:t>,</m:t>
              </m:r>
              <m:r>
                <m:rPr>
                  <m:sty m:val="i"/>
                </m:rPr>
                <m:t>t</m:t>
              </m:r>
              <m:r>
                <m:rPr>
                  <m:sty m:val="p"/>
                </m:rPr>
                <m:t>)</m:t>
              </m:r>
              <m:sSup>
                <m:sSupPr/>
                <m:e>
                  <m:r>
                    <m:rPr>
                      <m:sty m:val="p"/>
                    </m:rPr>
                    <m:t>|</m:t>
                  </m:r>
                </m:e>
                <m:sup>
                  <m:r>
                    <m:rPr>
                      <m:sty m:val="p"/>
                    </m:rPr>
                    <m:t>2</m:t>
                  </m:r>
                </m:sup>
              </m:sSup>
            </m:num>
            <m:den>
              <m:r>
                <m:rPr>
                  <m:sty m:val="p"/>
                </m:rPr>
                <m:t>|</m:t>
              </m:r>
              <m:r>
                <m:rPr>
                  <m:sty m:val="i"/>
                </m:rPr>
                <m:t>S</m:t>
              </m:r>
              <m:r>
                <m:rPr>
                  <m:sty m:val="i"/>
                </m:rPr>
                <m:t>T</m:t>
              </m:r>
              <m:r>
                <m:rPr>
                  <m:sty m:val="i"/>
                </m:rPr>
                <m:t>F</m:t>
              </m:r>
              <m:sSub>
                <m:sSubPr/>
                <m:e>
                  <m:r>
                    <m:rPr>
                      <m:sty m:val="i"/>
                    </m:rPr>
                    <m:t>T</m:t>
                  </m:r>
                </m:e>
                <m:sub>
                  <m:r>
                    <m:rPr>
                      <m:sty m:val="i"/>
                    </m:rPr>
                    <m:t>H</m:t>
                  </m:r>
                </m:sub>
              </m:sSub>
              <m:r>
                <m:rPr>
                  <m:sty m:val="p"/>
                </m:rPr>
                <m:t>(</m:t>
              </m:r>
              <m:r>
                <m:rPr>
                  <m:sty m:val="i"/>
                </m:rPr>
                <m:t>f</m:t>
              </m:r>
              <m:r>
                <m:rPr>
                  <m:sty m:val="p"/>
                </m:rPr>
                <m:t>,</m:t>
              </m:r>
              <m:r>
                <m:rPr>
                  <m:sty m:val="i"/>
                </m:rPr>
                <m:t>t</m:t>
              </m:r>
              <m:r>
                <m:rPr>
                  <m:sty m:val="p"/>
                </m:rPr>
                <m:t>)</m:t>
              </m:r>
              <m:sSup>
                <m:sSupPr/>
                <m:e>
                  <m:r>
                    <m:rPr>
                      <m:sty m:val="p"/>
                    </m:rPr>
                    <m:t>|</m:t>
                  </m:r>
                </m:e>
                <m:sup>
                  <m:r>
                    <m:rPr>
                      <m:sty m:val="p"/>
                    </m:rPr>
                    <m:t>2</m:t>
                  </m:r>
                </m:sup>
              </m:sSup>
            </m:den>
          </m:f>
        </m:oMath>
      </m:oMathPara>
    </w:p>
    <w:p>
      <w:pPr>
        <w:spacing w:after="210" w:lineRule="auto"/>
      </w:pPr>
      <w:r>
        <w:rPr/>
        <w:t xml:space="preserve">where </w:t>
      </w:r>
      <m:oMath>
        <m:r>
          <m:rPr>
            <m:sty m:val="i"/>
          </m:rPr>
          <m:t>S</m:t>
        </m:r>
        <m:r>
          <m:rPr>
            <m:sty m:val="i"/>
          </m:rPr>
          <m:t>T</m:t>
        </m:r>
        <m:r>
          <m:rPr>
            <m:sty m:val="i"/>
          </m:rPr>
          <m:t>F</m:t>
        </m:r>
        <m:r>
          <m:rPr>
            <m:sty m:val="i"/>
          </m:rPr>
          <m:t>T</m:t>
        </m:r>
      </m:oMath>
      <w:r>
        <w:rPr/>
        <w:t xml:space="preserve"> denotes Short-Time Fourier Transform with Hanning window (length: 1024 samples, 50% overlap) applied to Z and H components. The frequency range was restricted to ULF band: 0.01-0.5 Hz, corresponding to periodicities of 2-100 seconds where earthquake precursors are theoretically expected.</w:t>
      </w:r>
    </w:p>
    <w:p>
      <w:pPr>
        <w:spacing w:line="271" w:before="240" w:lineRule="auto"/>
      </w:pPr>
      <w:bookmarkStart w:id="18" w:name="bm_3_3_3_spectrogram_generation"/>
      <w:r>
        <w:rPr>
          <w:b/>
          <w:sz w:val="28"/>
        </w:rPr>
        <w:t xml:space="preserve">3.3.3 Spectrogram Generation</w:t>
      </w:r>
      <w:bookmarkEnd w:id="18"/>
    </w:p>
    <w:p>
      <w:pPr>
        <w:spacing w:after="210" w:lineRule="auto"/>
      </w:pPr>
      <w:r>
        <w:rPr>
          <w:rFonts w:eastAsia="Georgia" w:cs="Georgia" w:ascii="Georgia" w:hAnsi="Georgia"/>
        </w:rPr>
        <w:t xml:space="preserve">Time-frequency representations were visualized as 224×224 pixel RGB images using Jet colormap, mapping power spectral density to color intensity (blue: low, red: high). This resolution matches EfficientNet-B0 input requirements while providing sufficient temporal (horizontal axis: 0-24 hours) and frequency (vertical axis: 0.01-0.5 Hz, log scale) resolution to capture diagnostic patterns. Each spectrogram represents three channels (R, G, B) encoding power intensity, enabling direct input to pretrained CNN weights.</w:t>
      </w:r>
    </w:p>
    <w:p>
      <w:pPr>
        <w:spacing w:line="271" w:before="240" w:lineRule="auto"/>
      </w:pPr>
      <w:bookmarkStart w:id="19" w:name="bm_3_4_dataset_homogenization_strategy"/>
      <w:r>
        <w:rPr>
          <w:b/>
          <w:sz w:val="33"/>
        </w:rPr>
        <w:t xml:space="preserve">3.4 Dataset Homogenization Strategy</w:t>
      </w:r>
      <w:bookmarkEnd w:id="19"/>
    </w:p>
    <w:p>
      <w:pPr>
        <w:spacing w:line="271" w:before="240" w:lineRule="auto"/>
      </w:pPr>
      <w:bookmarkStart w:id="20" w:name="bm_3_4_1_the_solar_cycle_bias_problem"/>
      <w:r>
        <w:rPr>
          <w:b/>
          <w:sz w:val="28"/>
        </w:rPr>
        <w:t xml:space="preserve">3.4.1 The Solar Cycle Bias Problem</w:t>
      </w:r>
      <w:bookmarkEnd w:id="20"/>
    </w:p>
    <w:p>
      <w:pPr>
        <w:spacing w:after="210" w:lineRule="auto"/>
      </w:pPr>
      <w:r>
        <w:rPr>
          <w:rFonts w:eastAsia="Georgia" w:cs="Georgia" w:ascii="Georgia" w:hAnsi="Georgia"/>
        </w:rPr>
        <w:t xml:space="preserve">Preliminary analysis revealed systematic differences in spectrogram appearance between solar minimum (2018-2019, F10.7 flux ≈70 sfu) and solar maximum (2024-2025, F10.7 flux ≈180 sfu) periods. Even during seismically quiet periods, background geomagnetic activity increased substantially during high solar flux, creating a domain shift challenge for machine learning models. Figure 2(b) illustrates this effect: Normal spectrograms from 2024 exhibit higher baseline power in the 0.01-0.1 Hz range compared to 2018, resembling precursor patterns from earlier solar phases.</w:t>
      </w:r>
    </w:p>
    <w:p>
      <w:pPr>
        <w:spacing w:line="271" w:before="240" w:lineRule="auto"/>
      </w:pPr>
      <w:bookmarkStart w:id="21" w:name="bm_3_4_2_balanced_temporal_sampling"/>
      <w:r>
        <w:rPr>
          <w:b/>
          <w:sz w:val="28"/>
        </w:rPr>
        <w:t xml:space="preserve">3.4.2 Balanced Temporal Sampling</w:t>
      </w:r>
      <w:bookmarkEnd w:id="21"/>
    </w:p>
    <w:p>
      <w:pPr>
        <w:spacing w:after="210" w:lineRule="auto"/>
      </w:pPr>
      <w:r>
        <w:rPr/>
        <w:t xml:space="preserve">To address this bias, we implemented a stratified sampling strategy across solar activity phases:</w:t>
      </w:r>
    </w:p>
    <w:bookmarkStart w:id="22" w:name="tab_dataset"/>
    <w:bookmarkEnd w:id="22"/>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bottom w:val="single" w:sz="8" w:space="0" w:color="000000"/>
            </w:tcBorders>
            <w:vAlign w:val="center"/>
          </w:tcPr>
          <w:p>
            <w:pPr>
              <w:spacing w:lineRule="auto"/>
              <w:jc w:val="left"/>
            </w:pPr>
            <w:r>
              <w:rPr>
                <w:b/>
              </w:rPr>
              <w:t xml:space="preserve">Class</w:t>
            </w:r>
          </w:p>
        </w:tc>
        <w:tc>
          <w:tcPr>
            <w:tcBorders>
              <w:top w:val="single" w:sz="8" w:space="0" w:color="000000"/>
              <w:bottom w:val="single" w:sz="8" w:space="0" w:color="000000"/>
            </w:tcBorders>
            <w:vAlign w:val="center"/>
          </w:tcPr>
          <w:p>
            <w:pPr>
              <w:spacing w:lineRule="auto"/>
              <w:jc w:val="center"/>
            </w:pPr>
            <w:r>
              <w:rPr>
                <w:b/>
              </w:rPr>
              <w:t xml:space="preserve">2018-2019 Samples</w:t>
            </w:r>
          </w:p>
        </w:tc>
        <w:tc>
          <w:tcPr>
            <w:tcBorders>
              <w:top w:val="single" w:sz="8" w:space="0" w:color="000000"/>
              <w:bottom w:val="single" w:sz="8" w:space="0" w:color="000000"/>
            </w:tcBorders>
            <w:vAlign w:val="center"/>
          </w:tcPr>
          <w:p>
            <w:pPr>
              <w:spacing w:lineRule="auto"/>
              <w:jc w:val="center"/>
            </w:pPr>
            <w:r>
              <w:rPr>
                <w:b/>
              </w:rPr>
              <w:t xml:space="preserve">2024-2025 Samples</w:t>
            </w:r>
          </w:p>
        </w:tc>
        <w:tc>
          <w:tcPr>
            <w:tcBorders>
              <w:top w:val="single" w:sz="8" w:space="0" w:color="000000"/>
              <w:bottom w:val="single" w:sz="8" w:space="0" w:color="000000"/>
            </w:tcBorders>
            <w:vAlign w:val="center"/>
          </w:tcPr>
          <w:p>
            <w:pPr>
              <w:spacing w:lineRule="auto"/>
              <w:jc w:val="center"/>
            </w:pPr>
            <w:r>
              <w:rPr>
                <w:b/>
              </w:rPr>
              <w:t xml:space="preserve">Total</w:t>
            </w:r>
          </w:p>
        </w:tc>
      </w:tr>
      <w:tr>
        <w:trPr>
          <w:cantSplit/>
        </w:trPr>
        <w:tc>
          <w:tcPr>
            <w:tcBorders/>
            <w:vAlign w:val="center"/>
          </w:tcPr>
          <w:p>
            <w:pPr>
              <w:spacing w:lineRule="auto"/>
              <w:jc w:val="left"/>
            </w:pPr>
            <w:r>
              <w:rPr/>
              <w:t xml:space="preserve">Normal (Quiet)</w:t>
            </w:r>
          </w:p>
        </w:tc>
        <w:tc>
          <w:tcPr>
            <w:tcBorders/>
            <w:vAlign w:val="center"/>
          </w:tcPr>
          <w:p>
            <w:pPr>
              <w:spacing w:lineRule="auto"/>
              <w:jc w:val="center"/>
            </w:pPr>
            <w:r>
              <w:rPr/>
              <w:t xml:space="preserve">340</w:t>
            </w:r>
          </w:p>
        </w:tc>
        <w:tc>
          <w:tcPr>
            <w:tcBorders/>
            <w:vAlign w:val="center"/>
          </w:tcPr>
          <w:p>
            <w:pPr>
              <w:spacing w:lineRule="auto"/>
              <w:jc w:val="center"/>
            </w:pPr>
            <w:r>
              <w:rPr/>
              <w:t xml:space="preserve">1000</w:t>
            </w:r>
          </w:p>
        </w:tc>
        <w:tc>
          <w:tcPr>
            <w:tcBorders/>
            <w:vAlign w:val="center"/>
          </w:tcPr>
          <w:p>
            <w:pPr>
              <w:spacing w:lineRule="auto"/>
              <w:jc w:val="center"/>
            </w:pPr>
            <w:r>
              <w:rPr/>
              <w:t xml:space="preserve">1340</w:t>
            </w:r>
          </w:p>
        </w:tc>
      </w:tr>
      <w:tr>
        <w:trPr>
          <w:cantSplit/>
        </w:trPr>
        <w:tc>
          <w:tcPr>
            <w:tcBorders/>
            <w:vAlign w:val="center"/>
          </w:tcPr>
          <w:p>
            <w:pPr>
              <w:spacing w:lineRule="auto"/>
              <w:jc w:val="left"/>
            </w:pPr>
            <w:r>
              <w:rPr/>
              <w:t xml:space="preserve">Moderate (M4.5-4.9)</w:t>
            </w:r>
          </w:p>
        </w:tc>
        <w:tc>
          <w:tcPr>
            <w:tcBorders/>
            <w:vAlign w:val="center"/>
          </w:tcPr>
          <w:p>
            <w:pPr>
              <w:spacing w:lineRule="auto"/>
              <w:jc w:val="center"/>
            </w:pPr>
            <w:r>
              <w:rPr/>
              <w:t xml:space="preserve">280</w:t>
            </w:r>
          </w:p>
        </w:tc>
        <w:tc>
          <w:tcPr>
            <w:tcBorders/>
            <w:vAlign w:val="center"/>
          </w:tcPr>
          <w:p>
            <w:pPr>
              <w:spacing w:lineRule="auto"/>
              <w:jc w:val="center"/>
            </w:pPr>
            <w:r>
              <w:rPr/>
              <w:t xml:space="preserve">120</w:t>
            </w:r>
          </w:p>
        </w:tc>
        <w:tc>
          <w:tcPr>
            <w:tcBorders/>
            <w:vAlign w:val="center"/>
          </w:tcPr>
          <w:p>
            <w:pPr>
              <w:spacing w:lineRule="auto"/>
              <w:jc w:val="center"/>
            </w:pPr>
            <w:r>
              <w:rPr/>
              <w:t xml:space="preserve">400</w:t>
            </w:r>
          </w:p>
        </w:tc>
      </w:tr>
      <w:tr>
        <w:trPr>
          <w:cantSplit/>
        </w:trPr>
        <w:tc>
          <w:tcPr>
            <w:tcBorders/>
            <w:vAlign w:val="center"/>
          </w:tcPr>
          <w:p>
            <w:pPr>
              <w:spacing w:lineRule="auto"/>
              <w:jc w:val="left"/>
            </w:pPr>
            <w:r>
              <w:rPr/>
              <w:t xml:space="preserve">Medium (M5.0-5.9)</w:t>
            </w:r>
          </w:p>
        </w:tc>
        <w:tc>
          <w:tcPr>
            <w:tcBorders/>
            <w:vAlign w:val="center"/>
          </w:tcPr>
          <w:p>
            <w:pPr>
              <w:spacing w:lineRule="auto"/>
              <w:jc w:val="center"/>
            </w:pPr>
            <w:r>
              <w:rPr/>
              <w:t xml:space="preserve">240</w:t>
            </w:r>
          </w:p>
        </w:tc>
        <w:tc>
          <w:tcPr>
            <w:tcBorders/>
            <w:vAlign w:val="center"/>
          </w:tcPr>
          <w:p>
            <w:pPr>
              <w:spacing w:lineRule="auto"/>
              <w:jc w:val="center"/>
            </w:pPr>
            <w:r>
              <w:rPr/>
              <w:t xml:space="preserve">85</w:t>
            </w:r>
          </w:p>
        </w:tc>
        <w:tc>
          <w:tcPr>
            <w:tcBorders/>
            <w:vAlign w:val="center"/>
          </w:tcPr>
          <w:p>
            <w:pPr>
              <w:spacing w:lineRule="auto"/>
              <w:jc w:val="center"/>
            </w:pPr>
            <w:r>
              <w:rPr/>
              <w:t xml:space="preserve">325</w:t>
            </w:r>
          </w:p>
        </w:tc>
      </w:tr>
      <w:tr>
        <w:trPr>
          <w:cantSplit/>
        </w:trPr>
        <w:tc>
          <w:tcPr>
            <w:tcBorders>
              <w:bottom w:val="single" w:sz="8" w:space="0" w:color="000000"/>
            </w:tcBorders>
            <w:vAlign w:val="center"/>
          </w:tcPr>
          <w:p>
            <w:pPr>
              <w:spacing w:lineRule="auto"/>
              <w:jc w:val="left"/>
            </w:pPr>
            <w:r>
              <w:rPr>
                <w:rFonts w:eastAsia="Georgia" w:cs="Georgia" w:ascii="Georgia" w:hAnsi="Georgia"/>
              </w:rPr>
              <w:t xml:space="preserve">Large (M≥6.0)</w:t>
            </w:r>
          </w:p>
        </w:tc>
        <w:tc>
          <w:tcPr>
            <w:tcBorders>
              <w:bottom w:val="single" w:sz="8" w:space="0" w:color="000000"/>
            </w:tcBorders>
            <w:vAlign w:val="center"/>
          </w:tcPr>
          <w:p>
            <w:pPr>
              <w:spacing w:lineRule="auto"/>
              <w:jc w:val="center"/>
            </w:pPr>
            <w:r>
              <w:rPr/>
              <w:t xml:space="preserve">140</w:t>
            </w:r>
          </w:p>
        </w:tc>
        <w:tc>
          <w:tcPr>
            <w:tcBorders>
              <w:bottom w:val="single" w:sz="8" w:space="0" w:color="000000"/>
            </w:tcBorders>
            <w:vAlign w:val="center"/>
          </w:tcPr>
          <w:p>
            <w:pPr>
              <w:spacing w:lineRule="auto"/>
              <w:jc w:val="center"/>
            </w:pPr>
            <w:r>
              <w:rPr/>
              <w:t xml:space="preserve">60</w:t>
            </w:r>
          </w:p>
        </w:tc>
        <w:tc>
          <w:tcPr>
            <w:tcBorders>
              <w:bottom w:val="single" w:sz="8" w:space="0" w:color="000000"/>
            </w:tcBorders>
            <w:vAlign w:val="center"/>
          </w:tcPr>
          <w:p>
            <w:pPr>
              <w:spacing w:lineRule="auto"/>
              <w:jc w:val="center"/>
            </w:pPr>
            <w:r>
              <w:rPr/>
              <w:t xml:space="preserve">200</w:t>
            </w:r>
          </w:p>
        </w:tc>
      </w:tr>
      <w:tr>
        <w:trPr>
          <w:cantSplit/>
        </w:trPr>
        <w:tc>
          <w:tcPr>
            <w:tcBorders>
              <w:bottom w:val="single" w:sz="8" w:space="0" w:color="000000"/>
            </w:tcBorders>
            <w:vAlign w:val="center"/>
          </w:tcPr>
          <w:p>
            <w:pPr>
              <w:spacing w:lineRule="auto"/>
              <w:jc w:val="left"/>
            </w:pPr>
            <w:r>
              <w:rPr>
                <w:b/>
              </w:rPr>
              <w:t xml:space="preserve">Total</w:t>
            </w:r>
          </w:p>
        </w:tc>
        <w:tc>
          <w:tcPr>
            <w:tcBorders>
              <w:bottom w:val="single" w:sz="8" w:space="0" w:color="000000"/>
            </w:tcBorders>
            <w:vAlign w:val="center"/>
          </w:tcPr>
          <w:p>
            <w:pPr>
              <w:spacing w:lineRule="auto"/>
              <w:jc w:val="center"/>
            </w:pPr>
            <w:r>
              <w:rPr>
                <w:b/>
              </w:rPr>
              <w:t xml:space="preserve">1000</w:t>
            </w:r>
          </w:p>
        </w:tc>
        <w:tc>
          <w:tcPr>
            <w:tcBorders>
              <w:bottom w:val="single" w:sz="8" w:space="0" w:color="000000"/>
            </w:tcBorders>
            <w:vAlign w:val="center"/>
          </w:tcPr>
          <w:p>
            <w:pPr>
              <w:spacing w:lineRule="auto"/>
              <w:jc w:val="center"/>
            </w:pPr>
            <w:r>
              <w:rPr>
                <w:b/>
              </w:rPr>
              <w:t xml:space="preserve">1265</w:t>
            </w:r>
          </w:p>
        </w:tc>
        <w:tc>
          <w:tcPr>
            <w:tcBorders>
              <w:bottom w:val="single" w:sz="8" w:space="0" w:color="000000"/>
            </w:tcBorders>
            <w:vAlign w:val="center"/>
          </w:tcPr>
          <w:p>
            <w:pPr>
              <w:spacing w:lineRule="auto"/>
              <w:jc w:val="center"/>
            </w:pPr>
            <w:r>
              <w:rPr>
                <w:b/>
              </w:rPr>
              <w:t xml:space="preserve">2265</w:t>
            </w:r>
          </w:p>
        </w:tc>
      </w:tr>
    </w:tbl>
    <w:p>
      <w:pPr>
        <w:spacing w:lineRule="auto"/>
      </w:pPr>
    </w:p>
    <w:p>
      <w:pPr>
        <w:spacing w:lineRule="auto"/>
      </w:pPr>
      <w:r>
        <w:rPr/>
        <w:t xml:space="preserve">Table 1: Dataset composition showing temporal distribution across solar activity phases. Note the deliberate oversampling of Normal class from 2024-2025 to teach the model solar noise discrimination.</w:t>
      </w:r>
    </w:p>
    <w:p>
      <w:pPr>
        <w:spacing w:after="210" w:lineRule="auto"/>
      </w:pPr>
      <w:r>
        <w:rPr/>
        <w:t xml:space="preserve">The key innovation is the inclusion of 1,000 Normal samples from the 2024-2025 high-flux period, representing 74.6% of all Normal class examples. This forces the model to learn that elevated geomagnetic activity alone does not indicate earthquake precursors, requiring discrimination based on spectral pattern structure rather than absolute power levels.</w:t>
      </w:r>
    </w:p>
    <w:p>
      <w:pPr>
        <w:spacing w:line="271" w:before="240" w:lineRule="auto"/>
      </w:pPr>
      <w:bookmarkStart w:id="23" w:name="bm_3_4_3_quality_control_and_arti_e0257d"/>
      <w:r>
        <w:rPr>
          <w:b/>
          <w:sz w:val="28"/>
        </w:rPr>
        <w:t xml:space="preserve">3.4.3 Quality Control and Artifact Removal</w:t>
      </w:r>
      <w:bookmarkEnd w:id="23"/>
    </w:p>
    <w:p>
      <w:pPr>
        <w:spacing w:after="210" w:lineRule="auto"/>
      </w:pPr>
      <w:r>
        <w:rPr/>
        <w:t xml:space="preserve">All spectrograms underwent automated quality screening to exclude:</w:t>
      </w:r>
    </w:p>
    <w:p>
      <w:pPr>
        <w:numPr>
          <w:ilvl w:val="0"/>
          <w:numId w:val="4"/>
        </w:numPr>
        <w:spacing w:lineRule="auto"/>
      </w:pPr>
      <w:r>
        <w:rPr/>
        <w:t xml:space="preserve">Instrumental artifacts (saturation, dropouts): 127 samples removed</w:t>
      </w:r>
    </w:p>
    <w:p>
      <w:pPr>
        <w:numPr>
          <w:ilvl w:val="0"/>
          <w:numId w:val="4"/>
        </w:numPr>
        <w:spacing w:lineRule="auto"/>
      </w:pPr>
      <w:r>
        <w:rPr/>
        <w:t xml:space="preserve">Magnetic storm contamination (Dst &lt; -100 nT): 83 samples removed</w:t>
      </w:r>
    </w:p>
    <w:p>
      <w:pPr>
        <w:numPr>
          <w:ilvl w:val="0"/>
          <w:numId w:val="4"/>
        </w:numPr>
        <w:spacing w:lineRule="auto"/>
      </w:pPr>
      <w:r>
        <w:rPr/>
        <w:t xml:space="preserve">Lightning-induced transients: 56 samples removed</w:t>
      </w:r>
    </w:p>
    <w:p>
      <w:pPr>
        <w:numPr>
          <w:ilvl w:val="0"/>
          <w:numId w:val="4"/>
        </w:numPr>
        <w:spacing w:lineRule="auto"/>
      </w:pPr>
      <w:r>
        <w:rPr/>
        <w:t xml:space="preserve">Data completeness &lt; 90%: 94 samples removed</w:t>
      </w:r>
    </w:p>
    <w:p>
      <w:pPr>
        <w:spacing w:after="210" w:lineRule="auto"/>
      </w:pPr>
      <w:r>
        <w:rPr/>
        <w:t xml:space="preserve">After quality control, the final dataset comprised 2,265 spectrograms (837 Precursor + 1,340 Normal, 88 originally rejected). Data augmentation was NOT applied to avoid introducing artificial patterns that might not reflect real geophysical processes.</w:t>
      </w:r>
    </w:p>
    <w:p>
      <w:pPr>
        <w:spacing w:line="271" w:before="240" w:lineRule="auto"/>
      </w:pPr>
      <w:bookmarkStart w:id="24" w:name="bm_3_5_dataset_partitioning"/>
      <w:r>
        <w:rPr>
          <w:b/>
          <w:sz w:val="33"/>
        </w:rPr>
        <w:t xml:space="preserve">3.5 Dataset Partitioning</w:t>
      </w:r>
      <w:bookmarkEnd w:id="24"/>
    </w:p>
    <w:p>
      <w:pPr>
        <w:spacing w:after="210" w:lineRule="auto"/>
      </w:pPr>
      <w:r>
        <w:rPr/>
        <w:t xml:space="preserve">We employed stratified spatial splitting to ensure generalization across different geographic regions:</w:t>
      </w:r>
    </w:p>
    <w:p>
      <w:pPr>
        <w:numPr>
          <w:ilvl w:val="0"/>
          <w:numId w:val="5"/>
        </w:numPr>
        <w:spacing w:lineRule="auto"/>
      </w:pPr>
      <w:r>
        <w:rPr>
          <w:b/>
        </w:rPr>
        <w:t xml:space="preserve">Training set:</w:t>
      </w:r>
      <w:r>
        <w:rPr/>
        <w:t xml:space="preserve"> 70% (n=1,585) - Samples from 6 stations (GTO, SCN, YOG, KPY, TKT, PLU)</w:t>
      </w:r>
    </w:p>
    <w:p>
      <w:pPr>
        <w:numPr>
          <w:ilvl w:val="0"/>
          <w:numId w:val="5"/>
        </w:numPr>
        <w:spacing w:lineRule="auto"/>
      </w:pPr>
      <w:r>
        <w:rPr>
          <w:b/>
        </w:rPr>
        <w:t xml:space="preserve">Validation set:</w:t>
      </w:r>
      <w:r>
        <w:rPr/>
        <w:t xml:space="preserve"> 20% (n=453) - Samples from same 6 stations, held out temporally</w:t>
      </w:r>
    </w:p>
    <w:p>
      <w:pPr>
        <w:numPr>
          <w:ilvl w:val="0"/>
          <w:numId w:val="5"/>
        </w:numPr>
        <w:spacing w:lineRule="auto"/>
      </w:pPr>
      <w:r>
        <w:rPr>
          <w:b/>
        </w:rPr>
        <w:t xml:space="preserve">Test set:</w:t>
      </w:r>
      <w:r>
        <w:rPr/>
        <w:t xml:space="preserve"> 10% (n=227) - Samples exclusively from 2 unseen stations (MLB, SMI)</w:t>
      </w:r>
    </w:p>
    <w:p>
      <w:pPr>
        <w:spacing w:after="210" w:lineRule="auto"/>
      </w:pPr>
      <w:r>
        <w:rPr/>
        <w:t xml:space="preserve">This station-wise split tests the model's ability to generalize to new geographic locations, a critical requirement for operational deployment across the entire observatory network. The test set was sealed until final evaluation to prevent data leakage.</w:t>
      </w:r>
    </w:p>
    <w:p>
      <w:pPr>
        <w:spacing w:line="271" w:before="240" w:lineRule="auto"/>
      </w:pPr>
      <w:bookmarkStart w:id="25" w:name="bm_4_hierarchical_efficientnet_b0_825751"/>
      <w:r>
        <w:rPr>
          <w:b/>
          <w:sz w:val="42"/>
        </w:rPr>
        <w:t xml:space="preserve">4. Hierarchical EfficientNet-B0 Architecture</w:t>
      </w:r>
      <w:bookmarkEnd w:id="25"/>
    </w:p>
    <w:p>
      <w:pPr>
        <w:spacing w:line="271" w:before="240" w:lineRule="auto"/>
      </w:pPr>
      <w:bookmarkStart w:id="26" w:name="bm_4_1_design_rationale"/>
      <w:r>
        <w:rPr>
          <w:b/>
          <w:sz w:val="33"/>
        </w:rPr>
        <w:t xml:space="preserve">4.1 Design Rationale</w:t>
      </w:r>
      <w:bookmarkEnd w:id="26"/>
    </w:p>
    <w:p>
      <w:pPr>
        <w:spacing w:after="210" w:lineRule="auto"/>
      </w:pPr>
      <w:r>
        <w:rPr/>
        <w:t xml:space="preserve">Traditional multi-class CNN architectures treat all output classes symmetrically, optimizing cross-entropy loss uniformly across categories. This approach is suboptimal for earthquake precursor detection where:</w:t>
      </w:r>
    </w:p>
    <w:p>
      <w:pPr>
        <w:numPr>
          <w:ilvl w:val="0"/>
          <w:numId w:val="6"/>
        </w:numPr>
        <w:spacing w:lineRule="auto"/>
      </w:pPr>
      <w:r>
        <w:rPr/>
        <w:t xml:space="preserve">Different magnitude classes have vastly different operational importance (missing M6.5 event &gt;&gt; false alarm on M4.7 event)</w:t>
      </w:r>
    </w:p>
    <w:p>
      <w:pPr>
        <w:numPr>
          <w:ilvl w:val="0"/>
          <w:numId w:val="6"/>
        </w:numPr>
        <w:spacing w:lineRule="auto"/>
      </w:pPr>
      <w:r>
        <w:rPr/>
        <w:t xml:space="preserve">The decision process mirrors physical reality: first determine IF a precursor exists, then estimate magnitude IF detected</w:t>
      </w:r>
    </w:p>
    <w:p>
      <w:pPr>
        <w:numPr>
          <w:ilvl w:val="0"/>
          <w:numId w:val="6"/>
        </w:numPr>
        <w:spacing w:lineRule="auto"/>
      </w:pPr>
      <w:r>
        <w:rPr/>
        <w:t xml:space="preserve">Class imbalance (Large events are rarest) leads to models biased toward majority classes</w:t>
      </w:r>
    </w:p>
    <w:p>
      <w:pPr>
        <w:spacing w:after="210" w:lineRule="auto"/>
      </w:pPr>
      <w:r>
        <w:rPr/>
        <w:t xml:space="preserve">Our hierarchical architecture addresses these challenges through a two-stage decision process with specialized loss functions for each stage.</w:t>
      </w:r>
    </w:p>
    <w:p>
      <w:pPr>
        <w:spacing w:line="271" w:before="240" w:lineRule="auto"/>
      </w:pPr>
      <w:bookmarkStart w:id="27" w:name="bm_4_2_architecture_components"/>
      <w:r>
        <w:rPr>
          <w:b/>
          <w:sz w:val="33"/>
        </w:rPr>
        <w:t xml:space="preserve">4.2 Architecture Components</w:t>
      </w:r>
      <w:bookmarkEnd w:id="27"/>
    </w:p>
    <w:p>
      <w:pPr>
        <w:spacing w:after="210" w:lineRule="auto"/>
      </w:pPr>
      <w:r>
        <w:rPr/>
        <w:t xml:space="preserve">Figure 3 illustrates the complete hierarchical architecture design.</w:t>
      </w:r>
    </w:p>
    <w:p>
      <w:pPr>
        <w:spacing w:lineRule="auto"/>
      </w:pPr>
      <w:r>
        <w:rPr/>
        <w:t xml:space="preserve"/>
      </w:r>
    </w:p>
    <w:p>
      <w:pPr>
        <w:spacing w:lineRule="auto"/>
      </w:pPr>
      <w:r>
        <w:rPr>
          <w:rFonts w:eastAsia="Georgia" w:cs="Georgia" w:ascii="Georgia" w:hAnsi="Georgia"/>
        </w:rPr>
        <w:t xml:space="preserve">Figure 3: Hierarchical deep learning architecture. Input spectrograms (224×224×3) pass through EfficientNet-B0 backbone with Mobile Inverted Bottleneck convolutions, producing a 256-dimensional shared latent space. Three specialized heads perform: (1) Binary classification (Normal/Precursor), (2) Magnitude estimation (4 classes), (3) Azimuth localization (9 classes). The hierarchical structure prioritizes disaster-level event detection.</w:t>
      </w:r>
    </w:p>
    <w:p>
      <w:pPr>
        <w:spacing w:line="271" w:before="240" w:lineRule="auto"/>
      </w:pPr>
      <w:bookmarkStart w:id="28" w:name="bm_4_2_1_efficientnet_b0_backbone"/>
      <w:r>
        <w:rPr>
          <w:b/>
          <w:sz w:val="28"/>
        </w:rPr>
        <w:t xml:space="preserve">4.2.1 EfficientNet-B0 Backbone</w:t>
      </w:r>
      <w:bookmarkEnd w:id="28"/>
    </w:p>
    <w:p>
      <w:pPr>
        <w:spacing w:after="210" w:lineRule="auto"/>
      </w:pPr>
      <w:r>
        <w:rPr/>
        <w:t xml:space="preserve">The feature extraction backbone employs EfficientNet-B0 with Mobile Inverted Bottleneck (MBConv) blocks, which combine depthwise separable convolutions with squeeze-and-excitation attention[34]. Key specifications:</w:t>
      </w:r>
    </w:p>
    <w:p>
      <w:pPr>
        <w:numPr>
          <w:ilvl w:val="0"/>
          <w:numId w:val="7"/>
        </w:numPr>
        <w:spacing w:lineRule="auto"/>
      </w:pPr>
      <w:r>
        <w:rPr>
          <w:rFonts w:eastAsia="Georgia" w:cs="Georgia" w:ascii="Georgia" w:hAnsi="Georgia"/>
        </w:rPr>
        <w:t xml:space="preserve">Input resolution: 224×224×3</w:t>
      </w:r>
    </w:p>
    <w:p>
      <w:pPr>
        <w:numPr>
          <w:ilvl w:val="0"/>
          <w:numId w:val="7"/>
        </w:numPr>
        <w:spacing w:lineRule="auto"/>
      </w:pPr>
      <w:r>
        <w:rPr/>
        <w:t xml:space="preserve">Number of MBConv blocks: 16 (organized in 7 stages)</w:t>
      </w:r>
    </w:p>
    <w:p>
      <w:pPr>
        <w:numPr>
          <w:ilvl w:val="0"/>
          <w:numId w:val="7"/>
        </w:numPr>
        <w:spacing w:lineRule="auto"/>
      </w:pPr>
      <w:r>
        <w:rPr/>
        <w:t xml:space="preserve">Total parameters: 5.3M (backbone only)</w:t>
      </w:r>
    </w:p>
    <w:p>
      <w:pPr>
        <w:numPr>
          <w:ilvl w:val="0"/>
          <w:numId w:val="7"/>
        </w:numPr>
        <w:spacing w:lineRule="auto"/>
      </w:pPr>
      <w:r>
        <w:rPr/>
        <w:t xml:space="preserve">FLOPs: 0.39B (inference efficiency)</w:t>
      </w:r>
    </w:p>
    <w:p>
      <w:pPr>
        <w:numPr>
          <w:ilvl w:val="0"/>
          <w:numId w:val="7"/>
        </w:numPr>
        <w:spacing w:lineRule="auto"/>
      </w:pPr>
      <w:r>
        <w:rPr/>
        <w:t xml:space="preserve">Activation: Swish (SiLU) for improved gradient flow</w:t>
      </w:r>
    </w:p>
    <w:p>
      <w:pPr>
        <w:spacing w:after="210" w:lineRule="auto"/>
      </w:pPr>
      <w:r>
        <w:rPr/>
        <w:t xml:space="preserve">Weights were initialized with ImageNet pretraining, then fine-tuned on our geomagnetic spectrograms. The final convolutional layer produces 1280 feature maps which are global average pooled and projected to a 256-dimensional shared latent space through a dense layer with Dropout (p=0.3).</w:t>
      </w:r>
    </w:p>
    <w:p>
      <w:pPr>
        <w:spacing w:line="271" w:before="240" w:lineRule="auto"/>
      </w:pPr>
      <w:bookmarkStart w:id="29" w:name="bm_4_2_2_hierarchical_decision_heads"/>
      <w:r>
        <w:rPr>
          <w:b/>
          <w:sz w:val="28"/>
        </w:rPr>
        <w:t xml:space="preserve">4.2.2 Hierarchical Decision Heads</w:t>
      </w:r>
      <w:bookmarkEnd w:id="29"/>
    </w:p>
    <w:p>
      <w:pPr>
        <w:spacing w:after="210" w:lineRule="auto"/>
      </w:pPr>
      <w:r>
        <w:rPr/>
        <w:t xml:space="preserve">The shared latent representation feeds three parallel classification heads:</w:t>
      </w:r>
    </w:p>
    <w:p>
      <w:pPr>
        <w:spacing w:after="210" w:lineRule="auto"/>
      </w:pPr>
      <w:r>
        <w:rPr>
          <w:b/>
        </w:rPr>
        <w:t xml:space="preserve">Binary Head (Primary):</w:t>
      </w:r>
    </w:p>
    <w:p>
      <w:pPr>
        <w:numPr>
          <w:ilvl w:val="0"/>
          <w:numId w:val="8"/>
        </w:numPr>
        <w:spacing w:lineRule="auto"/>
      </w:pPr>
      <w:r>
        <w:rPr>
          <w:rFonts w:eastAsia="Georgia" w:cs="Georgia" w:ascii="Georgia" w:hAnsi="Georgia"/>
        </w:rPr>
        <w:t xml:space="preserve">Dense layer: 256 → 128 → 2 units (Normal vs. Precursor)</w:t>
      </w:r>
    </w:p>
    <w:p>
      <w:pPr>
        <w:numPr>
          <w:ilvl w:val="0"/>
          <w:numId w:val="8"/>
        </w:numPr>
        <w:spacing w:lineRule="auto"/>
      </w:pPr>
      <w:r>
        <w:rPr/>
        <w:t xml:space="preserve">Activation: Softmax</w:t>
      </w:r>
    </w:p>
    <w:p>
      <w:pPr>
        <w:numPr>
          <w:ilvl w:val="0"/>
          <w:numId w:val="8"/>
        </w:numPr>
        <w:spacing w:lineRule="auto"/>
      </w:pPr>
      <w:r>
        <w:rPr/>
        <w:t xml:space="preserve">Loss: Binary cross-entropy with class weights </w:t>
      </w:r>
      <m:oMath>
        <m:sSub>
          <m:sSubPr/>
          <m:e>
            <m:r>
              <m:rPr>
                <m:sty m:val="i"/>
              </m:rPr>
              <m:t>w</m:t>
            </m:r>
          </m:e>
          <m:sub>
            <m:r>
              <m:rPr>
                <m:sty m:val="i"/>
              </m:rPr>
              <m:t>N</m:t>
            </m:r>
            <m:r>
              <m:rPr>
                <m:sty m:val="i"/>
              </m:rPr>
              <m:t>o</m:t>
            </m:r>
            <m:r>
              <m:rPr>
                <m:sty m:val="i"/>
              </m:rPr>
              <m:t>r</m:t>
            </m:r>
            <m:r>
              <m:rPr>
                <m:sty m:val="i"/>
              </m:rPr>
              <m:t>m</m:t>
            </m:r>
            <m:r>
              <m:rPr>
                <m:sty m:val="i"/>
              </m:rPr>
              <m:t>a</m:t>
            </m:r>
            <m:r>
              <m:rPr>
                <m:sty m:val="i"/>
              </m:rPr>
              <m:t>l</m:t>
            </m:r>
          </m:sub>
        </m:sSub>
        <m:r>
          <m:rPr>
            <m:sty m:val="p"/>
          </m:rPr>
          <m:t>=</m:t>
        </m:r>
        <m:r>
          <m:rPr>
            <m:sty m:val="p"/>
          </m:rPr>
          <m:t>0.4</m:t>
        </m:r>
      </m:oMath>
      <w:r>
        <w:rPr/>
        <w:t xml:space="preserve">, </w:t>
      </w:r>
      <m:oMath>
        <m:sSub>
          <m:sSubPr/>
          <m:e>
            <m:r>
              <m:rPr>
                <m:sty m:val="i"/>
              </m:rPr>
              <m:t>w</m:t>
            </m:r>
          </m:e>
          <m:sub>
            <m:r>
              <m:rPr>
                <m:sty m:val="i"/>
              </m:rPr>
              <m:t>P</m:t>
            </m:r>
            <m:r>
              <m:rPr>
                <m:sty m:val="i"/>
              </m:rPr>
              <m:t>r</m:t>
            </m:r>
            <m:r>
              <m:rPr>
                <m:sty m:val="i"/>
              </m:rPr>
              <m:t>e</m:t>
            </m:r>
            <m:r>
              <m:rPr>
                <m:sty m:val="i"/>
              </m:rPr>
              <m:t>c</m:t>
            </m:r>
            <m:r>
              <m:rPr>
                <m:sty m:val="i"/>
              </m:rPr>
              <m:t>u</m:t>
            </m:r>
            <m:r>
              <m:rPr>
                <m:sty m:val="i"/>
              </m:rPr>
              <m:t>r</m:t>
            </m:r>
            <m:r>
              <m:rPr>
                <m:sty m:val="i"/>
              </m:rPr>
              <m:t>s</m:t>
            </m:r>
            <m:r>
              <m:rPr>
                <m:sty m:val="i"/>
              </m:rPr>
              <m:t>o</m:t>
            </m:r>
            <m:r>
              <m:rPr>
                <m:sty m:val="i"/>
              </m:rPr>
              <m:t>r</m:t>
            </m:r>
          </m:sub>
        </m:sSub>
        <m:r>
          <m:rPr>
            <m:sty m:val="p"/>
          </m:rPr>
          <m:t>=</m:t>
        </m:r>
        <m:r>
          <m:rPr>
            <m:sty m:val="p"/>
          </m:rPr>
          <m:t>0.6</m:t>
        </m:r>
      </m:oMath>
    </w:p>
    <w:p>
      <w:pPr>
        <w:numPr>
          <w:ilvl w:val="0"/>
          <w:numId w:val="8"/>
        </w:numPr>
        <w:spacing w:lineRule="auto"/>
      </w:pPr>
      <w:r>
        <w:rPr>
          <w:rFonts w:eastAsia="Georgia" w:cs="Georgia" w:ascii="Georgia" w:hAnsi="Georgia"/>
        </w:rPr>
        <w:t xml:space="preserve">Purpose: Stage 1 gatekeeper—determines IF geomagnetic anomaly exists</w:t>
      </w:r>
    </w:p>
    <w:p>
      <w:pPr>
        <w:spacing w:after="210" w:lineRule="auto"/>
      </w:pPr>
      <w:r>
        <w:rPr>
          <w:b/>
        </w:rPr>
        <w:t xml:space="preserve">Magnitude Head (Conditional):</w:t>
      </w:r>
    </w:p>
    <w:p>
      <w:pPr>
        <w:numPr>
          <w:ilvl w:val="0"/>
          <w:numId w:val="9"/>
        </w:numPr>
        <w:spacing w:lineRule="auto"/>
      </w:pPr>
      <w:r>
        <w:rPr>
          <w:rFonts w:eastAsia="Georgia" w:cs="Georgia" w:ascii="Georgia" w:hAnsi="Georgia"/>
        </w:rPr>
        <w:t xml:space="preserve">Dense layer: 256 → 128 → 4 units (Normal, Moderate, Medium, Large)</w:t>
      </w:r>
    </w:p>
    <w:p>
      <w:pPr>
        <w:numPr>
          <w:ilvl w:val="0"/>
          <w:numId w:val="9"/>
        </w:numPr>
        <w:spacing w:lineRule="auto"/>
      </w:pPr>
      <w:r>
        <w:rPr/>
        <w:t xml:space="preserve">Activation: Softmax</w:t>
      </w:r>
    </w:p>
    <w:p>
      <w:pPr>
        <w:numPr>
          <w:ilvl w:val="0"/>
          <w:numId w:val="9"/>
        </w:numPr>
        <w:spacing w:lineRule="auto"/>
      </w:pPr>
      <w:r>
        <w:rPr/>
        <w:t xml:space="preserve">Loss: Focal loss (</w:t>
      </w:r>
      <m:oMath>
        <m:r>
          <m:rPr>
            <m:sty m:val="i"/>
          </m:rPr>
          <m:t>γ</m:t>
        </m:r>
        <m:r>
          <m:rPr>
            <m:sty m:val="p"/>
          </m:rPr>
          <m:t>=</m:t>
        </m:r>
        <m:r>
          <m:rPr>
            <m:sty m:val="p"/>
          </m:rPr>
          <m:t>2</m:t>
        </m:r>
      </m:oMath>
      <w:r>
        <w:rPr/>
        <w:t xml:space="preserve">, </w:t>
      </w:r>
      <m:oMath>
        <m:sSub>
          <m:sSubPr/>
          <m:e>
            <m:r>
              <m:rPr>
                <m:sty m:val="i"/>
              </m:rPr>
              <m:t>α</m:t>
            </m:r>
          </m:e>
          <m:sub>
            <m:r>
              <m:rPr>
                <m:sty m:val="i"/>
              </m:rPr>
              <m:t>L</m:t>
            </m:r>
            <m:r>
              <m:rPr>
                <m:sty m:val="i"/>
              </m:rPr>
              <m:t>a</m:t>
            </m:r>
            <m:r>
              <m:rPr>
                <m:sty m:val="i"/>
              </m:rPr>
              <m:t>r</m:t>
            </m:r>
            <m:r>
              <m:rPr>
                <m:sty m:val="i"/>
              </m:rPr>
              <m:t>g</m:t>
            </m:r>
            <m:r>
              <m:rPr>
                <m:sty m:val="i"/>
              </m:rPr>
              <m:t>e</m:t>
            </m:r>
          </m:sub>
        </m:sSub>
        <m:r>
          <m:rPr>
            <m:sty m:val="p"/>
          </m:rPr>
          <m:t>=</m:t>
        </m:r>
        <m:r>
          <m:rPr>
            <m:sty m:val="p"/>
          </m:rPr>
          <m:t>3.0</m:t>
        </m:r>
      </m:oMath>
      <w:r>
        <w:rPr/>
        <w:t xml:space="preserve">) to prioritize rare Large events</w:t>
      </w:r>
    </w:p>
    <w:p>
      <w:pPr>
        <w:numPr>
          <w:ilvl w:val="0"/>
          <w:numId w:val="9"/>
        </w:numPr>
        <w:spacing w:lineRule="auto"/>
      </w:pPr>
      <w:r>
        <w:rPr>
          <w:rFonts w:eastAsia="Georgia" w:cs="Georgia" w:ascii="Georgia" w:hAnsi="Georgia"/>
        </w:rPr>
        <w:t xml:space="preserve">Purpose: Stage 2 refinement—estimates seismic hazard level IF precursor detected</w:t>
      </w:r>
    </w:p>
    <w:p>
      <w:pPr>
        <w:spacing w:after="210" w:lineRule="auto"/>
      </w:pPr>
      <w:r>
        <w:rPr>
          <w:b/>
        </w:rPr>
        <w:t xml:space="preserve">Azimuth Head (Auxiliary):</w:t>
      </w:r>
    </w:p>
    <w:p>
      <w:pPr>
        <w:numPr>
          <w:ilvl w:val="0"/>
          <w:numId w:val="10"/>
        </w:numPr>
        <w:spacing w:lineRule="auto"/>
      </w:pPr>
      <w:r>
        <w:rPr>
          <w:rFonts w:eastAsia="Georgia" w:cs="Georgia" w:ascii="Georgia" w:hAnsi="Georgia"/>
        </w:rPr>
        <w:t xml:space="preserve">Dense layer: 256 → 64 → 9 units (8 compass directions + Unknown)</w:t>
      </w:r>
    </w:p>
    <w:p>
      <w:pPr>
        <w:numPr>
          <w:ilvl w:val="0"/>
          <w:numId w:val="10"/>
        </w:numPr>
        <w:spacing w:lineRule="auto"/>
      </w:pPr>
      <w:r>
        <w:rPr/>
        <w:t xml:space="preserve">Activation: Softmax</w:t>
      </w:r>
    </w:p>
    <w:p>
      <w:pPr>
        <w:numPr>
          <w:ilvl w:val="0"/>
          <w:numId w:val="10"/>
        </w:numPr>
        <w:spacing w:lineRule="auto"/>
      </w:pPr>
      <w:r>
        <w:rPr/>
        <w:t xml:space="preserve">Loss: Standard cross-entropy</w:t>
      </w:r>
    </w:p>
    <w:p>
      <w:pPr>
        <w:numPr>
          <w:ilvl w:val="0"/>
          <w:numId w:val="10"/>
        </w:numPr>
        <w:spacing w:lineRule="auto"/>
      </w:pPr>
      <w:r>
        <w:rPr/>
        <w:t xml:space="preserve">Purpose: Provides epicentral direction information for multi-station triangulation</w:t>
      </w:r>
    </w:p>
    <w:p>
      <w:pPr>
        <w:spacing w:after="210" w:lineRule="auto"/>
      </w:pPr>
      <w:r>
        <w:rPr/>
        <w:t xml:space="preserve">The hierarchical structure allows training the Binary head with balanced emphasis on both classes while using aggressive class weighting in the Magnitude head to maximize Large event recall, a trade-off that would be impossible in flat multi-class architectures.</w:t>
      </w:r>
    </w:p>
    <w:p>
      <w:pPr>
        <w:spacing w:line="271" w:before="240" w:lineRule="auto"/>
      </w:pPr>
      <w:bookmarkStart w:id="30" w:name="bm_4_3_training_methodology"/>
      <w:r>
        <w:rPr>
          <w:b/>
          <w:sz w:val="33"/>
        </w:rPr>
        <w:t xml:space="preserve">4.3 Training Methodology</w:t>
      </w:r>
      <w:bookmarkEnd w:id="30"/>
    </w:p>
    <w:p>
      <w:pPr>
        <w:spacing w:line="271" w:before="240" w:lineRule="auto"/>
      </w:pPr>
      <w:bookmarkStart w:id="31" w:name="bm_4_3_1_multi_task_loss_function"/>
      <w:r>
        <w:rPr>
          <w:b/>
          <w:sz w:val="28"/>
        </w:rPr>
        <w:t xml:space="preserve">4.3.1 Multi-Task Loss Function</w:t>
      </w:r>
      <w:bookmarkEnd w:id="31"/>
    </w:p>
    <w:p>
      <w:pPr>
        <w:spacing w:after="210" w:lineRule="auto"/>
      </w:pPr>
      <w:r>
        <w:rPr/>
        <w:t xml:space="preserve">The overall loss function combines all three heads with task-specific weighting:</w:t>
      </w:r>
    </w:p>
    <w:p>
      <w:pPr>
        <w:spacing w:after="210" w:lineRule="auto"/>
      </w:pPr>
      <m:oMathPara>
        <m:oMath>
          <m:sSub>
            <m:sSubPr/>
            <m:e>
              <m:r>
                <m:rPr>
                  <m:scr m:val="script"/>
                </m:rPr>
                <m:t>L</m:t>
              </m:r>
            </m:e>
            <m:sub>
              <m:r>
                <m:rPr>
                  <m:sty m:val="i"/>
                </m:rPr>
                <m:t>t</m:t>
              </m:r>
              <m:r>
                <m:rPr>
                  <m:sty m:val="i"/>
                </m:rPr>
                <m:t>o</m:t>
              </m:r>
              <m:r>
                <m:rPr>
                  <m:sty m:val="i"/>
                </m:rPr>
                <m:t>t</m:t>
              </m:r>
              <m:r>
                <m:rPr>
                  <m:sty m:val="i"/>
                </m:rPr>
                <m:t>a</m:t>
              </m:r>
              <m:r>
                <m:rPr>
                  <m:sty m:val="i"/>
                </m:rPr>
                <m:t>l</m:t>
              </m:r>
            </m:sub>
          </m:sSub>
          <m:r>
            <m:rPr>
              <m:sty m:val="p"/>
            </m:rPr>
            <m:t>=</m:t>
          </m:r>
          <m:sSub>
            <m:sSubPr/>
            <m:e>
              <m:r>
                <m:rPr>
                  <m:sty m:val="i"/>
                </m:rPr>
                <m:t>λ</m:t>
              </m:r>
            </m:e>
            <m:sub>
              <m:r>
                <m:rPr>
                  <m:sty m:val="i"/>
                </m:rPr>
                <m:t>B</m:t>
              </m:r>
            </m:sub>
          </m:sSub>
          <m:sSub>
            <m:sSubPr/>
            <m:e>
              <m:r>
                <m:rPr>
                  <m:scr m:val="script"/>
                </m:rPr>
                <m:t>L</m:t>
              </m:r>
            </m:e>
            <m:sub>
              <m:r>
                <m:rPr>
                  <m:sty m:val="i"/>
                </m:rPr>
                <m:t>b</m:t>
              </m:r>
              <m:r>
                <m:rPr>
                  <m:sty m:val="i"/>
                </m:rPr>
                <m:t>i</m:t>
              </m:r>
              <m:r>
                <m:rPr>
                  <m:sty m:val="i"/>
                </m:rPr>
                <m:t>n</m:t>
              </m:r>
              <m:r>
                <m:rPr>
                  <m:sty m:val="i"/>
                </m:rPr>
                <m:t>a</m:t>
              </m:r>
              <m:r>
                <m:rPr>
                  <m:sty m:val="i"/>
                </m:rPr>
                <m:t>r</m:t>
              </m:r>
              <m:r>
                <m:rPr>
                  <m:sty m:val="i"/>
                </m:rPr>
                <m:t>y</m:t>
              </m:r>
            </m:sub>
          </m:sSub>
          <m:r>
            <m:rPr>
              <m:sty m:val="p"/>
            </m:rPr>
            <m:t>+</m:t>
          </m:r>
          <m:sSub>
            <m:sSubPr/>
            <m:e>
              <m:r>
                <m:rPr>
                  <m:sty m:val="i"/>
                </m:rPr>
                <m:t>λ</m:t>
              </m:r>
            </m:e>
            <m:sub>
              <m:r>
                <m:rPr>
                  <m:sty m:val="i"/>
                </m:rPr>
                <m:t>M</m:t>
              </m:r>
            </m:sub>
          </m:sSub>
          <m:sSub>
            <m:sSubPr/>
            <m:e>
              <m:r>
                <m:rPr>
                  <m:scr m:val="script"/>
                </m:rPr>
                <m:t>L</m:t>
              </m:r>
            </m:e>
            <m:sub>
              <m:r>
                <m:rPr>
                  <m:sty m:val="i"/>
                </m:rPr>
                <m:t>m</m:t>
              </m:r>
              <m:r>
                <m:rPr>
                  <m:sty m:val="i"/>
                </m:rPr>
                <m:t>a</m:t>
              </m:r>
              <m:r>
                <m:rPr>
                  <m:sty m:val="i"/>
                </m:rPr>
                <m:t>g</m:t>
              </m:r>
              <m:r>
                <m:rPr>
                  <m:sty m:val="i"/>
                </m:rPr>
                <m:t>n</m:t>
              </m:r>
              <m:r>
                <m:rPr>
                  <m:sty m:val="i"/>
                </m:rPr>
                <m:t>i</m:t>
              </m:r>
              <m:r>
                <m:rPr>
                  <m:sty m:val="i"/>
                </m:rPr>
                <m:t>t</m:t>
              </m:r>
              <m:r>
                <m:rPr>
                  <m:sty m:val="i"/>
                </m:rPr>
                <m:t>u</m:t>
              </m:r>
              <m:r>
                <m:rPr>
                  <m:sty m:val="i"/>
                </m:rPr>
                <m:t>d</m:t>
              </m:r>
              <m:r>
                <m:rPr>
                  <m:sty m:val="i"/>
                </m:rPr>
                <m:t>e</m:t>
              </m:r>
            </m:sub>
          </m:sSub>
          <m:r>
            <m:rPr>
              <m:sty m:val="p"/>
            </m:rPr>
            <m:t>+</m:t>
          </m:r>
          <m:sSub>
            <m:sSubPr/>
            <m:e>
              <m:r>
                <m:rPr>
                  <m:sty m:val="i"/>
                </m:rPr>
                <m:t>λ</m:t>
              </m:r>
            </m:e>
            <m:sub>
              <m:r>
                <m:rPr>
                  <m:sty m:val="i"/>
                </m:rPr>
                <m:t>A</m:t>
              </m:r>
            </m:sub>
          </m:sSub>
          <m:sSub>
            <m:sSubPr/>
            <m:e>
              <m:r>
                <m:rPr>
                  <m:scr m:val="script"/>
                </m:rPr>
                <m:t>L</m:t>
              </m:r>
            </m:e>
            <m:sub>
              <m:r>
                <m:rPr>
                  <m:sty m:val="i"/>
                </m:rPr>
                <m:t>a</m:t>
              </m:r>
              <m:r>
                <m:rPr>
                  <m:sty m:val="i"/>
                </m:rPr>
                <m:t>z</m:t>
              </m:r>
              <m:r>
                <m:rPr>
                  <m:sty m:val="i"/>
                </m:rPr>
                <m:t>i</m:t>
              </m:r>
              <m:r>
                <m:rPr>
                  <m:sty m:val="i"/>
                </m:rPr>
                <m:t>m</m:t>
              </m:r>
              <m:r>
                <m:rPr>
                  <m:sty m:val="i"/>
                </m:rPr>
                <m:t>u</m:t>
              </m:r>
              <m:r>
                <m:rPr>
                  <m:sty m:val="i"/>
                </m:rPr>
                <m:t>t</m:t>
              </m:r>
              <m:r>
                <m:rPr>
                  <m:sty m:val="i"/>
                </m:rPr>
                <m:t>h</m:t>
              </m:r>
            </m:sub>
          </m:sSub>
        </m:oMath>
      </m:oMathPara>
    </w:p>
    <w:p>
      <w:pPr>
        <w:spacing w:after="210" w:lineRule="auto"/>
      </w:pPr>
      <w:r>
        <w:rPr/>
        <w:t xml:space="preserve">where </w:t>
      </w:r>
      <m:oMath>
        <m:sSub>
          <m:sSubPr/>
          <m:e>
            <m:r>
              <m:rPr>
                <m:sty m:val="i"/>
              </m:rPr>
              <m:t>λ</m:t>
            </m:r>
          </m:e>
          <m:sub>
            <m:r>
              <m:rPr>
                <m:sty m:val="i"/>
              </m:rPr>
              <m:t>B</m:t>
            </m:r>
          </m:sub>
        </m:sSub>
        <m:r>
          <m:rPr>
            <m:sty m:val="p"/>
          </m:rPr>
          <m:t>=</m:t>
        </m:r>
        <m:r>
          <m:rPr>
            <m:sty m:val="p"/>
          </m:rPr>
          <m:t>1.0</m:t>
        </m:r>
      </m:oMath>
      <w:r>
        <w:rPr/>
        <w:t xml:space="preserve">, </w:t>
      </w:r>
      <m:oMath>
        <m:sSub>
          <m:sSubPr/>
          <m:e>
            <m:r>
              <m:rPr>
                <m:sty m:val="i"/>
              </m:rPr>
              <m:t>λ</m:t>
            </m:r>
          </m:e>
          <m:sub>
            <m:r>
              <m:rPr>
                <m:sty m:val="i"/>
              </m:rPr>
              <m:t>M</m:t>
            </m:r>
          </m:sub>
        </m:sSub>
        <m:r>
          <m:rPr>
            <m:sty m:val="p"/>
          </m:rPr>
          <m:t>=</m:t>
        </m:r>
        <m:r>
          <m:rPr>
            <m:sty m:val="p"/>
          </m:rPr>
          <m:t>0.8</m:t>
        </m:r>
      </m:oMath>
      <w:r>
        <w:rPr/>
        <w:t xml:space="preserve">, </w:t>
      </w:r>
      <m:oMath>
        <m:sSub>
          <m:sSubPr/>
          <m:e>
            <m:r>
              <m:rPr>
                <m:sty m:val="i"/>
              </m:rPr>
              <m:t>λ</m:t>
            </m:r>
          </m:e>
          <m:sub>
            <m:r>
              <m:rPr>
                <m:sty m:val="i"/>
              </m:rPr>
              <m:t>A</m:t>
            </m:r>
          </m:sub>
        </m:sSub>
        <m:r>
          <m:rPr>
            <m:sty m:val="p"/>
          </m:rPr>
          <m:t>=</m:t>
        </m:r>
        <m:r>
          <m:rPr>
            <m:sty m:val="p"/>
          </m:rPr>
          <m:t>0.3</m:t>
        </m:r>
      </m:oMath>
      <w:r>
        <w:rPr/>
        <w:t xml:space="preserve"> reflect relative task importance. The magnitude loss employs focal loss to address class imbalance:</w:t>
      </w:r>
    </w:p>
    <w:p>
      <w:pPr>
        <w:spacing w:after="210" w:lineRule="auto"/>
      </w:pPr>
      <m:oMathPara>
        <m:oMath>
          <m:sSub>
            <m:sSubPr/>
            <m:e>
              <m:r>
                <m:rPr>
                  <m:scr m:val="script"/>
                </m:rPr>
                <m:t>L</m:t>
              </m:r>
            </m:e>
            <m:sub>
              <m:r>
                <m:rPr>
                  <m:sty m:val="i"/>
                </m:rPr>
                <m:t>m</m:t>
              </m:r>
              <m:r>
                <m:rPr>
                  <m:sty m:val="i"/>
                </m:rPr>
                <m:t>a</m:t>
              </m:r>
              <m:r>
                <m:rPr>
                  <m:sty m:val="i"/>
                </m:rPr>
                <m:t>g</m:t>
              </m:r>
              <m:r>
                <m:rPr>
                  <m:sty m:val="i"/>
                </m:rPr>
                <m:t>n</m:t>
              </m:r>
              <m:r>
                <m:rPr>
                  <m:sty m:val="i"/>
                </m:rPr>
                <m:t>i</m:t>
              </m:r>
              <m:r>
                <m:rPr>
                  <m:sty m:val="i"/>
                </m:rPr>
                <m:t>t</m:t>
              </m:r>
              <m:r>
                <m:rPr>
                  <m:sty m:val="i"/>
                </m:rPr>
                <m:t>u</m:t>
              </m:r>
              <m:r>
                <m:rPr>
                  <m:sty m:val="i"/>
                </m:rPr>
                <m:t>d</m:t>
              </m:r>
              <m:r>
                <m:rPr>
                  <m:sty m:val="i"/>
                </m:rPr>
                <m:t>e</m:t>
              </m:r>
            </m:sub>
          </m:sSub>
          <m:r>
            <m:rPr>
              <m:sty m:val="p"/>
            </m:rPr>
            <m:t>=</m:t>
          </m:r>
          <m:r>
            <m:rPr>
              <m:sty m:val="p"/>
            </m:rPr>
            <m:t>−</m:t>
          </m:r>
          <m:sSub>
            <m:sSubPr/>
            <m:e>
              <m:r>
                <m:rPr>
                  <m:sty m:val="i"/>
                </m:rPr>
                <m:t>α</m:t>
              </m:r>
            </m:e>
            <m:sub>
              <m:r>
                <m:rPr>
                  <m:sty m:val="i"/>
                </m:rPr>
                <m:t>i</m:t>
              </m:r>
            </m:sub>
          </m:sSub>
          <m:r>
            <m:rPr>
              <m:sty m:val="p"/>
            </m:rPr>
            <m:t>(</m:t>
          </m:r>
          <m:r>
            <m:rPr>
              <m:sty m:val="p"/>
            </m:rPr>
            <m:t>1</m:t>
          </m:r>
          <m:r>
            <m:rPr>
              <m:sty m:val="p"/>
            </m:rPr>
            <m:t>−</m:t>
          </m:r>
          <m:sSub>
            <m:sSubPr/>
            <m:e>
              <m:r>
                <m:rPr>
                  <m:sty m:val="i"/>
                </m:rPr>
                <m:t>p</m:t>
              </m:r>
            </m:e>
            <m:sub>
              <m:r>
                <m:rPr>
                  <m:sty m:val="i"/>
                </m:rPr>
                <m:t>i</m:t>
              </m:r>
            </m:sub>
          </m:sSub>
          <m:sSup>
            <m:sSupPr/>
            <m:e>
              <m:r>
                <m:rPr>
                  <m:sty m:val="p"/>
                </m:rPr>
                <m:t>)</m:t>
              </m:r>
            </m:e>
            <m:sup>
              <m:r>
                <m:rPr>
                  <m:sty m:val="i"/>
                </m:rPr>
                <m:t>γ</m:t>
              </m:r>
            </m:sup>
          </m:sSup>
          <m:r>
            <m:rPr>
              <m:sty m:val="p"/>
            </m:rPr>
            <m:t>log</m:t>
          </m:r>
          <m:r>
            <m:rPr>
              <m:sty m:val="p"/>
            </m:rPr>
            <m:t>⁡</m:t>
          </m:r>
          <m:r>
            <m:rPr>
              <m:sty m:val="p"/>
            </m:rPr>
            <m:t>(</m:t>
          </m:r>
          <m:sSub>
            <m:sSubPr/>
            <m:e>
              <m:r>
                <m:rPr>
                  <m:sty m:val="i"/>
                </m:rPr>
                <m:t>p</m:t>
              </m:r>
            </m:e>
            <m:sub>
              <m:r>
                <m:rPr>
                  <m:sty m:val="i"/>
                </m:rPr>
                <m:t>i</m:t>
              </m:r>
            </m:sub>
          </m:sSub>
          <m:r>
            <m:rPr>
              <m:sty m:val="p"/>
            </m:rPr>
            <m:t>)</m:t>
          </m:r>
        </m:oMath>
      </m:oMathPara>
    </w:p>
    <w:p>
      <w:pPr>
        <w:spacing w:after="210" w:lineRule="auto"/>
      </w:pPr>
      <w:r>
        <w:rPr/>
        <w:t xml:space="preserve">with class-specific weights </w:t>
      </w:r>
      <m:oMath>
        <m:sSub>
          <m:sSubPr/>
          <m:e>
            <m:r>
              <m:rPr>
                <m:sty m:val="i"/>
              </m:rPr>
              <m:t>α</m:t>
            </m:r>
          </m:e>
          <m:sub>
            <m:r>
              <m:rPr>
                <m:sty m:val="i"/>
              </m:rPr>
              <m:t>N</m:t>
            </m:r>
            <m:r>
              <m:rPr>
                <m:sty m:val="i"/>
              </m:rPr>
              <m:t>o</m:t>
            </m:r>
            <m:r>
              <m:rPr>
                <m:sty m:val="i"/>
              </m:rPr>
              <m:t>r</m:t>
            </m:r>
            <m:r>
              <m:rPr>
                <m:sty m:val="i"/>
              </m:rPr>
              <m:t>m</m:t>
            </m:r>
            <m:r>
              <m:rPr>
                <m:sty m:val="i"/>
              </m:rPr>
              <m:t>a</m:t>
            </m:r>
            <m:r>
              <m:rPr>
                <m:sty m:val="i"/>
              </m:rPr>
              <m:t>l</m:t>
            </m:r>
          </m:sub>
        </m:sSub>
        <m:r>
          <m:rPr>
            <m:sty m:val="p"/>
          </m:rPr>
          <m:t>=</m:t>
        </m:r>
        <m:r>
          <m:rPr>
            <m:sty m:val="p"/>
          </m:rPr>
          <m:t>0.5</m:t>
        </m:r>
      </m:oMath>
      <w:r>
        <w:rPr/>
        <w:t xml:space="preserve">, </w:t>
      </w:r>
      <m:oMath>
        <m:sSub>
          <m:sSubPr/>
          <m:e>
            <m:r>
              <m:rPr>
                <m:sty m:val="i"/>
              </m:rPr>
              <m:t>α</m:t>
            </m:r>
          </m:e>
          <m:sub>
            <m:r>
              <m:rPr>
                <m:sty m:val="i"/>
              </m:rPr>
              <m:t>M</m:t>
            </m:r>
            <m:r>
              <m:rPr>
                <m:sty m:val="i"/>
              </m:rPr>
              <m:t>o</m:t>
            </m:r>
            <m:r>
              <m:rPr>
                <m:sty m:val="i"/>
              </m:rPr>
              <m:t>d</m:t>
            </m:r>
            <m:r>
              <m:rPr>
                <m:sty m:val="i"/>
              </m:rPr>
              <m:t>e</m:t>
            </m:r>
            <m:r>
              <m:rPr>
                <m:sty m:val="i"/>
              </m:rPr>
              <m:t>r</m:t>
            </m:r>
            <m:r>
              <m:rPr>
                <m:sty m:val="i"/>
              </m:rPr>
              <m:t>a</m:t>
            </m:r>
            <m:r>
              <m:rPr>
                <m:sty m:val="i"/>
              </m:rPr>
              <m:t>t</m:t>
            </m:r>
            <m:r>
              <m:rPr>
                <m:sty m:val="i"/>
              </m:rPr>
              <m:t>e</m:t>
            </m:r>
          </m:sub>
        </m:sSub>
        <m:r>
          <m:rPr>
            <m:sty m:val="p"/>
          </m:rPr>
          <m:t>=</m:t>
        </m:r>
        <m:r>
          <m:rPr>
            <m:sty m:val="p"/>
          </m:rPr>
          <m:t>1.0</m:t>
        </m:r>
      </m:oMath>
      <w:r>
        <w:rPr/>
        <w:t xml:space="preserve">, </w:t>
      </w:r>
      <m:oMath>
        <m:sSub>
          <m:sSubPr/>
          <m:e>
            <m:r>
              <m:rPr>
                <m:sty m:val="i"/>
              </m:rPr>
              <m:t>α</m:t>
            </m:r>
          </m:e>
          <m:sub>
            <m:r>
              <m:rPr>
                <m:sty m:val="i"/>
              </m:rPr>
              <m:t>M</m:t>
            </m:r>
            <m:r>
              <m:rPr>
                <m:sty m:val="i"/>
              </m:rPr>
              <m:t>e</m:t>
            </m:r>
            <m:r>
              <m:rPr>
                <m:sty m:val="i"/>
              </m:rPr>
              <m:t>d</m:t>
            </m:r>
            <m:r>
              <m:rPr>
                <m:sty m:val="i"/>
              </m:rPr>
              <m:t>i</m:t>
            </m:r>
            <m:r>
              <m:rPr>
                <m:sty m:val="i"/>
              </m:rPr>
              <m:t>u</m:t>
            </m:r>
            <m:r>
              <m:rPr>
                <m:sty m:val="i"/>
              </m:rPr>
              <m:t>m</m:t>
            </m:r>
          </m:sub>
        </m:sSub>
        <m:r>
          <m:rPr>
            <m:sty m:val="p"/>
          </m:rPr>
          <m:t>=</m:t>
        </m:r>
        <m:r>
          <m:rPr>
            <m:sty m:val="p"/>
          </m:rPr>
          <m:t>1.5</m:t>
        </m:r>
      </m:oMath>
      <w:r>
        <w:rPr/>
        <w:t xml:space="preserve">, </w:t>
      </w:r>
      <m:oMath>
        <m:sSub>
          <m:sSubPr/>
          <m:e>
            <m:r>
              <m:rPr>
                <m:sty m:val="i"/>
              </m:rPr>
              <m:t>α</m:t>
            </m:r>
          </m:e>
          <m:sub>
            <m:r>
              <m:rPr>
                <m:sty m:val="i"/>
              </m:rPr>
              <m:t>L</m:t>
            </m:r>
            <m:r>
              <m:rPr>
                <m:sty m:val="i"/>
              </m:rPr>
              <m:t>a</m:t>
            </m:r>
            <m:r>
              <m:rPr>
                <m:sty m:val="i"/>
              </m:rPr>
              <m:t>r</m:t>
            </m:r>
            <m:r>
              <m:rPr>
                <m:sty m:val="i"/>
              </m:rPr>
              <m:t>g</m:t>
            </m:r>
            <m:r>
              <m:rPr>
                <m:sty m:val="i"/>
              </m:rPr>
              <m:t>e</m:t>
            </m:r>
          </m:sub>
        </m:sSub>
        <m:r>
          <m:rPr>
            <m:sty m:val="p"/>
          </m:rPr>
          <m:t>=</m:t>
        </m:r>
        <m:r>
          <m:rPr>
            <m:sty m:val="p"/>
          </m:rPr>
          <m:t>3.0</m:t>
        </m:r>
      </m:oMath>
      <w:r>
        <w:rPr/>
        <w:t xml:space="preserve"> and focusing parameter </w:t>
      </w:r>
      <m:oMath>
        <m:r>
          <m:rPr>
            <m:sty m:val="i"/>
          </m:rPr>
          <m:t>γ</m:t>
        </m:r>
        <m:r>
          <m:rPr>
            <m:sty m:val="p"/>
          </m:rPr>
          <m:t>=</m:t>
        </m:r>
        <m:r>
          <m:rPr>
            <m:sty m:val="p"/>
          </m:rPr>
          <m:t>2</m:t>
        </m:r>
      </m:oMath>
      <w:r>
        <w:rPr/>
        <w:t xml:space="preserve"> to down-weight easy examples.</w:t>
      </w:r>
    </w:p>
    <w:p>
      <w:pPr>
        <w:spacing w:line="271" w:before="240" w:lineRule="auto"/>
      </w:pPr>
      <w:bookmarkStart w:id="32" w:name="bm_4_3_2_optimization_configuration"/>
      <w:r>
        <w:rPr>
          <w:b/>
          <w:sz w:val="28"/>
        </w:rPr>
        <w:t xml:space="preserve">4.3.2 Optimization Configuration</w:t>
      </w:r>
      <w:bookmarkEnd w:id="32"/>
    </w:p>
    <w:p>
      <w:pPr>
        <w:numPr>
          <w:ilvl w:val="0"/>
          <w:numId w:val="11"/>
        </w:numPr>
        <w:spacing w:lineRule="auto"/>
      </w:pPr>
      <w:r>
        <w:rPr/>
        <w:t xml:space="preserve">Optimizer: AdamW with weight decay (</w:t>
      </w:r>
      <m:oMath>
        <m:r>
          <m:rPr>
            <m:sty m:val="i"/>
          </m:rPr>
          <m:t>λ</m:t>
        </m:r>
        <m:r>
          <m:rPr>
            <m:sty m:val="p"/>
          </m:rPr>
          <m:t>=</m:t>
        </m:r>
        <m:r>
          <m:rPr>
            <m:sty m:val="p"/>
          </m:rPr>
          <m:t>1</m:t>
        </m:r>
        <m:r>
          <m:rPr>
            <m:sty m:val="i"/>
          </m:rPr>
          <m:t>e</m:t>
        </m:r>
        <m:r>
          <m:rPr>
            <m:sty m:val="p"/>
          </m:rPr>
          <m:t>−</m:t>
        </m:r>
        <m:r>
          <m:rPr>
            <m:sty m:val="p"/>
          </m:rPr>
          <m:t>4</m:t>
        </m:r>
      </m:oMath>
      <w:r>
        <w:rPr/>
        <w:t xml:space="preserve">)</w:t>
      </w:r>
    </w:p>
    <w:p>
      <w:pPr>
        <w:numPr>
          <w:ilvl w:val="0"/>
          <w:numId w:val="11"/>
        </w:numPr>
        <w:spacing w:lineRule="auto"/>
      </w:pPr>
      <w:r>
        <w:rPr/>
        <w:t xml:space="preserve">Learning rate: Initial </w:t>
      </w:r>
      <m:oMath>
        <m:r>
          <m:rPr>
            <m:sty m:val="i"/>
          </m:rPr>
          <m:t>l</m:t>
        </m:r>
        <m:r>
          <m:rPr>
            <m:sty m:val="i"/>
          </m:rPr>
          <m:t>r</m:t>
        </m:r>
        <m:r>
          <m:rPr>
            <m:sty m:val="p"/>
          </m:rPr>
          <m:t>=</m:t>
        </m:r>
        <m:r>
          <m:rPr>
            <m:sty m:val="p"/>
          </m:rPr>
          <m:t>1</m:t>
        </m:r>
        <m:r>
          <m:rPr>
            <m:sty m:val="i"/>
          </m:rPr>
          <m:t>e</m:t>
        </m:r>
        <m:r>
          <m:rPr>
            <m:sty m:val="p"/>
          </m:rPr>
          <m:t>−</m:t>
        </m:r>
        <m:r>
          <m:rPr>
            <m:sty m:val="p"/>
          </m:rPr>
          <m:t>4</m:t>
        </m:r>
      </m:oMath>
      <w:r>
        <w:rPr/>
        <w:t xml:space="preserve"> with ReduceLROnPlateau scheduler (factor=0.5, patience=3 epochs)</w:t>
      </w:r>
    </w:p>
    <w:p>
      <w:pPr>
        <w:numPr>
          <w:ilvl w:val="0"/>
          <w:numId w:val="11"/>
        </w:numPr>
        <w:spacing w:lineRule="auto"/>
      </w:pPr>
      <w:r>
        <w:rPr>
          <w:rFonts w:eastAsia="Georgia" w:cs="Georgia" w:ascii="Georgia" w:hAnsi="Georgia"/>
        </w:rPr>
        <w:t xml:space="preserve">Batch size: 32 (limited by GPU memory for 224×224×3 inputs)</w:t>
      </w:r>
    </w:p>
    <w:p>
      <w:pPr>
        <w:numPr>
          <w:ilvl w:val="0"/>
          <w:numId w:val="11"/>
        </w:numPr>
        <w:spacing w:lineRule="auto"/>
      </w:pPr>
      <w:r>
        <w:rPr/>
        <w:t xml:space="preserve">Epochs: 15 with early stopping (patience=5 epochs on validation F1-score)</w:t>
      </w:r>
    </w:p>
    <w:p>
      <w:pPr>
        <w:numPr>
          <w:ilvl w:val="0"/>
          <w:numId w:val="11"/>
        </w:numPr>
        <w:spacing w:lineRule="auto"/>
      </w:pPr>
      <w:r>
        <w:rPr/>
        <w:t xml:space="preserve">Gradient clipping: Max norm = 1.0</w:t>
      </w:r>
    </w:p>
    <w:p>
      <w:pPr>
        <w:numPr>
          <w:ilvl w:val="0"/>
          <w:numId w:val="11"/>
        </w:numPr>
        <w:spacing w:lineRule="auto"/>
      </w:pPr>
      <w:r>
        <w:rPr/>
        <w:t xml:space="preserve">Implementation: PyTorch 2.0 on NVIDIA RTX 3090 (24GB VRAM)</w:t>
      </w:r>
    </w:p>
    <w:p>
      <w:pPr>
        <w:spacing w:after="210" w:lineRule="auto"/>
      </w:pPr>
      <w:r>
        <w:rPr/>
        <w:t xml:space="preserve">Training converged after 13 epochs (approximately 8.5 hours), with best validation performance occurring at epoch 11. Figure 4 shows training convergence curves.</w:t>
      </w:r>
    </w:p>
    <w:p>
      <w:pPr>
        <w:spacing w:lineRule="auto"/>
      </w:pPr>
      <w:r>
        <w:rPr/>
        <w:t xml:space="preserve"/>
      </w:r>
    </w:p>
    <w:p>
      <w:pPr>
        <w:spacing w:lineRule="auto"/>
      </w:pPr>
      <w:r>
        <w:rPr>
          <w:rFonts w:eastAsia="Georgia" w:cs="Georgia" w:ascii="Georgia" w:hAnsi="Georgia"/>
        </w:rPr>
        <w:t xml:space="preserve">Figure 4: Training dynamics: (a) Total loss convergence showing rapid initial descent and stabilization after epoch 6. (b) Validation F1-scores for Binary and Magnitude classification tasks across epochs. Binary task achieves stable performance (~87% F1) while Magnitude task shows more variation due to rare Large event samples.</w:t>
      </w:r>
    </w:p>
    <w:p>
      <w:pPr>
        <w:spacing w:line="271" w:before="240" w:lineRule="auto"/>
      </w:pPr>
      <w:bookmarkStart w:id="33" w:name="bm_4_3_3_regularization_strategies"/>
      <w:r>
        <w:rPr>
          <w:b/>
          <w:sz w:val="28"/>
        </w:rPr>
        <w:t xml:space="preserve">4.3.3 Regularization Strategies</w:t>
      </w:r>
      <w:bookmarkEnd w:id="33"/>
    </w:p>
    <w:p>
      <w:pPr>
        <w:spacing w:after="210" w:lineRule="auto"/>
      </w:pPr>
      <w:r>
        <w:rPr/>
        <w:t xml:space="preserve">To prevent overfitting on the limited dataset (n=1,585 training samples), we employed:</w:t>
      </w:r>
    </w:p>
    <w:p>
      <w:pPr>
        <w:numPr>
          <w:ilvl w:val="0"/>
          <w:numId w:val="12"/>
        </w:numPr>
        <w:spacing w:lineRule="auto"/>
      </w:pPr>
      <w:r>
        <w:rPr/>
        <w:t xml:space="preserve">Dropout (p=0.3) in dense layers</w:t>
      </w:r>
    </w:p>
    <w:p>
      <w:pPr>
        <w:numPr>
          <w:ilvl w:val="0"/>
          <w:numId w:val="12"/>
        </w:numPr>
        <w:spacing w:lineRule="auto"/>
      </w:pPr>
      <w:r>
        <w:rPr/>
        <w:t xml:space="preserve">Weight decay (L2 regularization, </w:t>
      </w:r>
      <m:oMath>
        <m:r>
          <m:rPr>
            <m:sty m:val="i"/>
          </m:rPr>
          <m:t>λ</m:t>
        </m:r>
        <m:r>
          <m:rPr>
            <m:sty m:val="p"/>
          </m:rPr>
          <m:t>=</m:t>
        </m:r>
        <m:r>
          <m:rPr>
            <m:sty m:val="p"/>
          </m:rPr>
          <m:t>1</m:t>
        </m:r>
        <m:r>
          <m:rPr>
            <m:sty m:val="i"/>
          </m:rPr>
          <m:t>e</m:t>
        </m:r>
        <m:r>
          <m:rPr>
            <m:sty m:val="p"/>
          </m:rPr>
          <m:t>−</m:t>
        </m:r>
        <m:r>
          <m:rPr>
            <m:sty m:val="p"/>
          </m:rPr>
          <m:t>4</m:t>
        </m:r>
      </m:oMath>
      <w:r>
        <w:rPr/>
        <w:t xml:space="preserve">)</w:t>
      </w:r>
    </w:p>
    <w:p>
      <w:pPr>
        <w:numPr>
          <w:ilvl w:val="0"/>
          <w:numId w:val="12"/>
        </w:numPr>
        <w:spacing w:lineRule="auto"/>
      </w:pPr>
      <w:r>
        <w:rPr/>
        <w:t xml:space="preserve">Early stopping based on validation F1-score</w:t>
      </w:r>
    </w:p>
    <w:p>
      <w:pPr>
        <w:numPr>
          <w:ilvl w:val="0"/>
          <w:numId w:val="12"/>
        </w:numPr>
        <w:spacing w:lineRule="auto"/>
      </w:pPr>
      <w:r>
        <w:rPr/>
        <w:t xml:space="preserve">No data augmentation (to preserve authentic geophysical patterns)</w:t>
      </w:r>
    </w:p>
    <w:p>
      <w:pPr>
        <w:spacing w:after="210" w:lineRule="auto"/>
      </w:pPr>
      <w:r>
        <w:rPr/>
        <w:t xml:space="preserve">Validation loss began increasing after epoch 11 despite decreasing training loss, triggering early stopping at epoch 13.</w:t>
      </w:r>
    </w:p>
    <w:p>
      <w:pPr>
        <w:spacing w:line="271" w:before="240" w:lineRule="auto"/>
      </w:pPr>
      <w:bookmarkStart w:id="34" w:name="bm_5_results_and_evaluation"/>
      <w:r>
        <w:rPr>
          <w:b/>
          <w:sz w:val="42"/>
        </w:rPr>
        <w:t xml:space="preserve">5. Results and Evaluation</w:t>
      </w:r>
      <w:bookmarkEnd w:id="34"/>
    </w:p>
    <w:p>
      <w:pPr>
        <w:spacing w:line="271" w:before="240" w:lineRule="auto"/>
      </w:pPr>
      <w:bookmarkStart w:id="35" w:name="bm_5_1_evaluation_metrics"/>
      <w:r>
        <w:rPr>
          <w:b/>
          <w:sz w:val="33"/>
        </w:rPr>
        <w:t xml:space="preserve">5.1 Evaluation Metrics</w:t>
      </w:r>
      <w:bookmarkEnd w:id="35"/>
    </w:p>
    <w:p>
      <w:pPr>
        <w:spacing w:after="210" w:lineRule="auto"/>
      </w:pPr>
      <w:r>
        <w:rPr/>
        <w:t xml:space="preserve">Given the critical nature of earthquake early warning, we prioritize recall (sensitivity) over precision for Large magnitude events, while monitoring overall system specificity to avoid excessive false alarms. Key metrics include:</w:t>
      </w:r>
    </w:p>
    <w:p>
      <w:pPr>
        <w:numPr>
          <w:ilvl w:val="0"/>
          <w:numId w:val="13"/>
        </w:numPr>
        <w:spacing w:lineRule="auto"/>
      </w:pPr>
      <w:r>
        <w:rPr>
          <w:b/>
        </w:rPr>
        <w:t xml:space="preserve">Recall (Sensitivity):</w:t>
      </w:r>
      <w:r>
        <w:rPr/>
        <w:t xml:space="preserve"> </w:t>
      </w:r>
      <m:oMath>
        <m:r>
          <m:rPr>
            <m:sty m:val="i"/>
          </m:rPr>
          <m:t>T</m:t>
        </m:r>
        <m:r>
          <m:rPr>
            <m:sty m:val="i"/>
          </m:rPr>
          <m:t>P</m:t>
        </m:r>
        <m:r>
          <m:rPr>
            <m:sty m:val="p"/>
          </m:rPr>
          <m:t>/</m:t>
        </m:r>
        <m:r>
          <m:rPr>
            <m:sty m:val="p"/>
          </m:rPr>
          <m:t>(</m:t>
        </m:r>
        <m:r>
          <m:rPr>
            <m:sty m:val="i"/>
          </m:rPr>
          <m:t>T</m:t>
        </m:r>
        <m:r>
          <m:rPr>
            <m:sty m:val="i"/>
          </m:rPr>
          <m:t>P</m:t>
        </m:r>
        <m:r>
          <m:rPr>
            <m:sty m:val="p"/>
          </m:rPr>
          <m:t>+</m:t>
        </m:r>
        <m:r>
          <m:rPr>
            <m:sty m:val="i"/>
          </m:rPr>
          <m:t>F</m:t>
        </m:r>
        <m:r>
          <m:rPr>
            <m:sty m:val="i"/>
          </m:rPr>
          <m:t>N</m:t>
        </m:r>
        <m:r>
          <m:rPr>
            <m:sty m:val="p"/>
          </m:rPr>
          <m:t>)</m:t>
        </m:r>
      </m:oMath>
      <w:r>
        <w:rPr/>
        <w:t xml:space="preserve"> - Proportion of actual events correctly detected</w:t>
      </w:r>
    </w:p>
    <w:p>
      <w:pPr>
        <w:numPr>
          <w:ilvl w:val="0"/>
          <w:numId w:val="13"/>
        </w:numPr>
        <w:spacing w:lineRule="auto"/>
      </w:pPr>
      <w:r>
        <w:rPr>
          <w:b/>
        </w:rPr>
        <w:t xml:space="preserve">Precision (Positive Predictive Value):</w:t>
      </w:r>
      <w:r>
        <w:rPr/>
        <w:t xml:space="preserve"> </w:t>
      </w:r>
      <m:oMath>
        <m:r>
          <m:rPr>
            <m:sty m:val="i"/>
          </m:rPr>
          <m:t>T</m:t>
        </m:r>
        <m:r>
          <m:rPr>
            <m:sty m:val="i"/>
          </m:rPr>
          <m:t>P</m:t>
        </m:r>
        <m:r>
          <m:rPr>
            <m:sty m:val="p"/>
          </m:rPr>
          <m:t>/</m:t>
        </m:r>
        <m:r>
          <m:rPr>
            <m:sty m:val="p"/>
          </m:rPr>
          <m:t>(</m:t>
        </m:r>
        <m:r>
          <m:rPr>
            <m:sty m:val="i"/>
          </m:rPr>
          <m:t>T</m:t>
        </m:r>
        <m:r>
          <m:rPr>
            <m:sty m:val="i"/>
          </m:rPr>
          <m:t>P</m:t>
        </m:r>
        <m:r>
          <m:rPr>
            <m:sty m:val="p"/>
          </m:rPr>
          <m:t>+</m:t>
        </m:r>
        <m:r>
          <m:rPr>
            <m:sty m:val="i"/>
          </m:rPr>
          <m:t>F</m:t>
        </m:r>
        <m:r>
          <m:rPr>
            <m:sty m:val="i"/>
          </m:rPr>
          <m:t>P</m:t>
        </m:r>
        <m:r>
          <m:rPr>
            <m:sty m:val="p"/>
          </m:rPr>
          <m:t>)</m:t>
        </m:r>
      </m:oMath>
      <w:r>
        <w:rPr/>
        <w:t xml:space="preserve"> - Reliability of positive predictions</w:t>
      </w:r>
    </w:p>
    <w:p>
      <w:pPr>
        <w:numPr>
          <w:ilvl w:val="0"/>
          <w:numId w:val="13"/>
        </w:numPr>
        <w:spacing w:lineRule="auto"/>
      </w:pPr>
      <w:r>
        <w:rPr>
          <w:b/>
        </w:rPr>
        <w:t xml:space="preserve">F1-Score:</w:t>
      </w:r>
      <w:r>
        <w:rPr/>
        <w:t xml:space="preserve"> Harmonic mean of precision and recall</w:t>
      </w:r>
    </w:p>
    <w:p>
      <w:pPr>
        <w:numPr>
          <w:ilvl w:val="0"/>
          <w:numId w:val="13"/>
        </w:numPr>
        <w:spacing w:lineRule="auto"/>
      </w:pPr>
      <w:r>
        <w:rPr>
          <w:b/>
        </w:rPr>
        <w:t xml:space="preserve">Specificity (True Negative Rate):</w:t>
      </w:r>
      <w:r>
        <w:rPr/>
        <w:t xml:space="preserve"> </w:t>
      </w:r>
      <m:oMath>
        <m:r>
          <m:rPr>
            <m:sty m:val="i"/>
          </m:rPr>
          <m:t>T</m:t>
        </m:r>
        <m:r>
          <m:rPr>
            <m:sty m:val="i"/>
          </m:rPr>
          <m:t>N</m:t>
        </m:r>
        <m:r>
          <m:rPr>
            <m:sty m:val="p"/>
          </m:rPr>
          <m:t>/</m:t>
        </m:r>
        <m:r>
          <m:rPr>
            <m:sty m:val="p"/>
          </m:rPr>
          <m:t>(</m:t>
        </m:r>
        <m:r>
          <m:rPr>
            <m:sty m:val="i"/>
          </m:rPr>
          <m:t>T</m:t>
        </m:r>
        <m:r>
          <m:rPr>
            <m:sty m:val="i"/>
          </m:rPr>
          <m:t>N</m:t>
        </m:r>
        <m:r>
          <m:rPr>
            <m:sty m:val="p"/>
          </m:rPr>
          <m:t>+</m:t>
        </m:r>
        <m:r>
          <m:rPr>
            <m:sty m:val="i"/>
          </m:rPr>
          <m:t>F</m:t>
        </m:r>
        <m:r>
          <m:rPr>
            <m:sty m:val="i"/>
          </m:rPr>
          <m:t>P</m:t>
        </m:r>
        <m:r>
          <m:rPr>
            <m:sty m:val="p"/>
          </m:rPr>
          <m:t>)</m:t>
        </m:r>
      </m:oMath>
      <w:r>
        <w:rPr/>
        <w:t xml:space="preserve"> - Correct identification of quiet periods</w:t>
      </w:r>
    </w:p>
    <w:p>
      <w:pPr>
        <w:spacing w:after="210" w:lineRule="auto"/>
      </w:pPr>
      <w:r>
        <w:rPr/>
        <w:t xml:space="preserve">All metrics are computed on the held-out test set (n=227 samples) from unseen stations (MLB, SMI) to assess generalization capability.</w:t>
      </w:r>
    </w:p>
    <w:p>
      <w:pPr>
        <w:spacing w:line="271" w:before="240" w:lineRule="auto"/>
      </w:pPr>
      <w:bookmarkStart w:id="36" w:name="bm_5_2_test_set_performance"/>
      <w:r>
        <w:rPr>
          <w:b/>
          <w:sz w:val="33"/>
        </w:rPr>
        <w:t xml:space="preserve">5.2 Test Set Performance</w:t>
      </w:r>
      <w:bookmarkEnd w:id="36"/>
    </w:p>
    <w:p>
      <w:pPr>
        <w:spacing w:line="271" w:before="240" w:lineRule="auto"/>
      </w:pPr>
      <w:bookmarkStart w:id="37" w:name="bm_5_2_1_binary_classification_results"/>
      <w:r>
        <w:rPr>
          <w:b/>
          <w:sz w:val="28"/>
        </w:rPr>
        <w:t xml:space="preserve">5.2.1 Binary Classification Results</w:t>
      </w:r>
      <w:bookmarkEnd w:id="37"/>
    </w:p>
    <w:p>
      <w:pPr>
        <w:spacing w:after="210" w:lineRule="auto"/>
      </w:pPr>
      <w:r>
        <w:rPr/>
        <w:t xml:space="preserve">The Binary head achieved strong performance in distinguishing geomagnetic quiet periods from precursor anomalies:</w:t>
      </w:r>
    </w:p>
    <w:bookmarkStart w:id="38" w:name="tab_binary"/>
    <w:bookmarkEnd w:id="38"/>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bottom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tcBorders>
            <w:vAlign w:val="center"/>
          </w:tcPr>
          <w:p>
            <w:pPr>
              <w:spacing w:lineRule="auto"/>
              <w:jc w:val="center"/>
            </w:pPr>
            <w:r>
              <w:rPr>
                <w:b/>
              </w:rPr>
              <w:t xml:space="preserve">Phase 2.1 (Ours)</w:t>
            </w:r>
          </w:p>
        </w:tc>
        <w:tc>
          <w:tcPr>
            <w:tcBorders>
              <w:top w:val="single" w:sz="8" w:space="0" w:color="000000"/>
              <w:bottom w:val="single" w:sz="8" w:space="0" w:color="000000"/>
            </w:tcBorders>
            <w:vAlign w:val="center"/>
          </w:tcPr>
          <w:p>
            <w:pPr>
              <w:spacing w:lineRule="auto"/>
              <w:jc w:val="center"/>
            </w:pPr>
            <w:r>
              <w:rPr>
                <w:b/>
              </w:rPr>
              <w:t xml:space="preserve">Baseline VGG16</w:t>
            </w:r>
          </w:p>
        </w:tc>
        <w:tc>
          <w:tcPr>
            <w:tcBorders>
              <w:top w:val="single" w:sz="8" w:space="0" w:color="000000"/>
              <w:bottom w:val="single" w:sz="8" w:space="0" w:color="000000"/>
            </w:tcBorders>
            <w:vAlign w:val="center"/>
          </w:tcPr>
          <w:p>
            <w:pPr>
              <w:spacing w:lineRule="auto"/>
              <w:jc w:val="center"/>
            </w:pPr>
            <w:r>
              <w:rPr>
                <w:b/>
              </w:rPr>
              <w:t xml:space="preserve">Improvement</w:t>
            </w:r>
          </w:p>
        </w:tc>
      </w:tr>
      <w:tr>
        <w:trPr>
          <w:cantSplit/>
        </w:trPr>
        <w:tc>
          <w:tcPr>
            <w:tcBorders/>
            <w:vAlign w:val="center"/>
          </w:tcPr>
          <w:p>
            <w:pPr>
              <w:spacing w:lineRule="auto"/>
              <w:jc w:val="left"/>
            </w:pPr>
            <w:r>
              <w:rPr/>
              <w:t xml:space="preserve">Accuracy</w:t>
            </w:r>
          </w:p>
        </w:tc>
        <w:tc>
          <w:tcPr>
            <w:tcBorders/>
            <w:vAlign w:val="center"/>
          </w:tcPr>
          <w:p>
            <w:pPr>
              <w:spacing w:lineRule="auto"/>
              <w:jc w:val="center"/>
            </w:pPr>
            <w:r>
              <w:rPr/>
              <w:t xml:space="preserve">89.0%</w:t>
            </w:r>
          </w:p>
        </w:tc>
        <w:tc>
          <w:tcPr>
            <w:tcBorders/>
            <w:vAlign w:val="center"/>
          </w:tcPr>
          <w:p>
            <w:pPr>
              <w:spacing w:lineRule="auto"/>
              <w:jc w:val="center"/>
            </w:pPr>
            <w:r>
              <w:rPr/>
              <w:t xml:space="preserve">73.2%</w:t>
            </w:r>
          </w:p>
        </w:tc>
        <w:tc>
          <w:tcPr>
            <w:tcBorders/>
            <w:vAlign w:val="center"/>
          </w:tcPr>
          <w:p>
            <w:pPr>
              <w:spacing w:lineRule="auto"/>
              <w:jc w:val="center"/>
            </w:pPr>
            <w:r>
              <w:rPr/>
              <w:t xml:space="preserve">+15.8 pp</w:t>
            </w:r>
          </w:p>
        </w:tc>
      </w:tr>
      <w:tr>
        <w:trPr>
          <w:cantSplit/>
        </w:trPr>
        <w:tc>
          <w:tcPr>
            <w:tcBorders/>
            <w:vAlign w:val="center"/>
          </w:tcPr>
          <w:p>
            <w:pPr>
              <w:spacing w:lineRule="auto"/>
              <w:jc w:val="left"/>
            </w:pPr>
            <w:r>
              <w:rPr/>
              <w:t xml:space="preserve">Recall (Precursor)</w:t>
            </w:r>
          </w:p>
        </w:tc>
        <w:tc>
          <w:tcPr>
            <w:tcBorders/>
            <w:vAlign w:val="center"/>
          </w:tcPr>
          <w:p>
            <w:pPr>
              <w:spacing w:lineRule="auto"/>
              <w:jc w:val="center"/>
            </w:pPr>
            <w:r>
              <w:rPr/>
              <w:t xml:space="preserve">93.8%</w:t>
            </w:r>
          </w:p>
        </w:tc>
        <w:tc>
          <w:tcPr>
            <w:tcBorders/>
            <w:vAlign w:val="center"/>
          </w:tcPr>
          <w:p>
            <w:pPr>
              <w:spacing w:lineRule="auto"/>
              <w:jc w:val="center"/>
            </w:pPr>
            <w:r>
              <w:rPr/>
              <w:t xml:space="preserve">81.5%</w:t>
            </w:r>
          </w:p>
        </w:tc>
        <w:tc>
          <w:tcPr>
            <w:tcBorders/>
            <w:vAlign w:val="center"/>
          </w:tcPr>
          <w:p>
            <w:pPr>
              <w:spacing w:lineRule="auto"/>
              <w:jc w:val="center"/>
            </w:pPr>
            <w:r>
              <w:rPr/>
              <w:t xml:space="preserve">+12.3 pp</w:t>
            </w:r>
          </w:p>
        </w:tc>
      </w:tr>
      <w:tr>
        <w:trPr>
          <w:cantSplit/>
        </w:trPr>
        <w:tc>
          <w:tcPr>
            <w:tcBorders/>
            <w:vAlign w:val="center"/>
          </w:tcPr>
          <w:p>
            <w:pPr>
              <w:spacing w:lineRule="auto"/>
              <w:jc w:val="left"/>
            </w:pPr>
            <w:r>
              <w:rPr/>
              <w:t xml:space="preserve">Recall (Normal)</w:t>
            </w:r>
          </w:p>
        </w:tc>
        <w:tc>
          <w:tcPr>
            <w:tcBorders/>
            <w:vAlign w:val="center"/>
          </w:tcPr>
          <w:p>
            <w:pPr>
              <w:spacing w:lineRule="auto"/>
              <w:jc w:val="center"/>
            </w:pPr>
            <w:r>
              <w:rPr/>
              <w:t xml:space="preserve">86.0%</w:t>
            </w:r>
          </w:p>
        </w:tc>
        <w:tc>
          <w:tcPr>
            <w:tcBorders/>
            <w:vAlign w:val="center"/>
          </w:tcPr>
          <w:p>
            <w:pPr>
              <w:spacing w:lineRule="auto"/>
              <w:jc w:val="center"/>
            </w:pPr>
            <w:r>
              <w:rPr/>
              <w:t xml:space="preserve">68.9%</w:t>
            </w:r>
          </w:p>
        </w:tc>
        <w:tc>
          <w:tcPr>
            <w:tcBorders/>
            <w:vAlign w:val="center"/>
          </w:tcPr>
          <w:p>
            <w:pPr>
              <w:spacing w:lineRule="auto"/>
              <w:jc w:val="center"/>
            </w:pPr>
            <w:r>
              <w:rPr/>
              <w:t xml:space="preserve">+17.1 pp</w:t>
            </w:r>
          </w:p>
        </w:tc>
      </w:tr>
      <w:tr>
        <w:trPr>
          <w:cantSplit/>
        </w:trPr>
        <w:tc>
          <w:tcPr>
            <w:tcBorders/>
            <w:vAlign w:val="center"/>
          </w:tcPr>
          <w:p>
            <w:pPr>
              <w:spacing w:lineRule="auto"/>
              <w:jc w:val="left"/>
            </w:pPr>
            <w:r>
              <w:rPr/>
              <w:t xml:space="preserve">Precision</w:t>
            </w:r>
          </w:p>
        </w:tc>
        <w:tc>
          <w:tcPr>
            <w:tcBorders/>
            <w:vAlign w:val="center"/>
          </w:tcPr>
          <w:p>
            <w:pPr>
              <w:spacing w:lineRule="auto"/>
              <w:jc w:val="center"/>
            </w:pPr>
            <w:r>
              <w:rPr/>
              <w:t xml:space="preserve">84.2%</w:t>
            </w:r>
          </w:p>
        </w:tc>
        <w:tc>
          <w:tcPr>
            <w:tcBorders/>
            <w:vAlign w:val="center"/>
          </w:tcPr>
          <w:p>
            <w:pPr>
              <w:spacing w:lineRule="auto"/>
              <w:jc w:val="center"/>
            </w:pPr>
            <w:r>
              <w:rPr/>
              <w:t xml:space="preserve">75.1%</w:t>
            </w:r>
          </w:p>
        </w:tc>
        <w:tc>
          <w:tcPr>
            <w:tcBorders/>
            <w:vAlign w:val="center"/>
          </w:tcPr>
          <w:p>
            <w:pPr>
              <w:spacing w:lineRule="auto"/>
              <w:jc w:val="center"/>
            </w:pPr>
            <w:r>
              <w:rPr/>
              <w:t xml:space="preserve">+9.1 pp</w:t>
            </w:r>
          </w:p>
        </w:tc>
      </w:tr>
      <w:tr>
        <w:trPr>
          <w:cantSplit/>
        </w:trPr>
        <w:tc>
          <w:tcPr>
            <w:tcBorders>
              <w:bottom w:val="single" w:sz="8" w:space="0" w:color="000000"/>
            </w:tcBorders>
            <w:vAlign w:val="center"/>
          </w:tcPr>
          <w:p>
            <w:pPr>
              <w:spacing w:lineRule="auto"/>
              <w:jc w:val="left"/>
            </w:pPr>
            <w:r>
              <w:rPr/>
              <w:t xml:space="preserve">F1-Score</w:t>
            </w:r>
          </w:p>
        </w:tc>
        <w:tc>
          <w:tcPr>
            <w:tcBorders>
              <w:bottom w:val="single" w:sz="8" w:space="0" w:color="000000"/>
            </w:tcBorders>
            <w:vAlign w:val="center"/>
          </w:tcPr>
          <w:p>
            <w:pPr>
              <w:spacing w:lineRule="auto"/>
              <w:jc w:val="center"/>
            </w:pPr>
            <w:r>
              <w:rPr/>
              <w:t xml:space="preserve">88.7%</w:t>
            </w:r>
          </w:p>
        </w:tc>
        <w:tc>
          <w:tcPr>
            <w:tcBorders>
              <w:bottom w:val="single" w:sz="8" w:space="0" w:color="000000"/>
            </w:tcBorders>
            <w:vAlign w:val="center"/>
          </w:tcPr>
          <w:p>
            <w:pPr>
              <w:spacing w:lineRule="auto"/>
              <w:jc w:val="center"/>
            </w:pPr>
            <w:r>
              <w:rPr/>
              <w:t xml:space="preserve">78.2%</w:t>
            </w:r>
          </w:p>
        </w:tc>
        <w:tc>
          <w:tcPr>
            <w:tcBorders>
              <w:bottom w:val="single" w:sz="8" w:space="0" w:color="000000"/>
            </w:tcBorders>
            <w:vAlign w:val="center"/>
          </w:tcPr>
          <w:p>
            <w:pPr>
              <w:spacing w:lineRule="auto"/>
              <w:jc w:val="center"/>
            </w:pPr>
            <w:r>
              <w:rPr/>
              <w:t xml:space="preserve">+10.5 pp</w:t>
            </w:r>
          </w:p>
        </w:tc>
      </w:tr>
    </w:tbl>
    <w:p>
      <w:pPr>
        <w:spacing w:lineRule="auto"/>
      </w:pPr>
    </w:p>
    <w:p>
      <w:pPr>
        <w:spacing w:lineRule="auto"/>
      </w:pPr>
      <w:r>
        <w:rPr/>
        <w:t xml:space="preserve">Table 2: Binary classification performance comparison. The Phase 2.1 model substantially outperforms standard VGG16 baseline, particularly in Normal class recall (specificity), indicating successful solar bias mitigation.</w:t>
      </w:r>
    </w:p>
    <w:p>
      <w:pPr>
        <w:spacing w:after="210" w:lineRule="auto"/>
      </w:pPr>
      <w:r>
        <w:rPr/>
        <w:t xml:space="preserve">The 86.0% Normal recall is particularly significant: it demonstrates that the model correctly identifies 86 out of 100 quiet periods as non-seismic, even during the high-flux 2024-2025 solar maximum. This 17.1 percentage point improvement over baseline indicates successful discrimination of solar noise from genuine earthquake precursors.</w:t>
      </w:r>
    </w:p>
    <w:p>
      <w:pPr>
        <w:spacing w:line="271" w:before="240" w:lineRule="auto"/>
      </w:pPr>
      <w:bookmarkStart w:id="39" w:name="bm_5_2_2_magnitude_classification_632b27"/>
      <w:r>
        <w:rPr>
          <w:b/>
          <w:sz w:val="28"/>
        </w:rPr>
        <w:t xml:space="preserve">5.2.2 Magnitude Classification Results</w:t>
      </w:r>
      <w:bookmarkEnd w:id="39"/>
    </w:p>
    <w:p>
      <w:pPr>
        <w:spacing w:after="210" w:lineRule="auto"/>
      </w:pPr>
      <w:r>
        <w:rPr/>
        <w:t xml:space="preserve">The Magnitude head achieved exceptional performance for Large events while exhibiting expected limitations for smaller magnitude classes:</w:t>
      </w:r>
    </w:p>
    <w:bookmarkStart w:id="40" w:name="tab_magnitude"/>
    <w:bookmarkEnd w:id="40"/>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bottom w:val="single" w:sz="8" w:space="0" w:color="000000"/>
            </w:tcBorders>
            <w:vAlign w:val="center"/>
          </w:tcPr>
          <w:p>
            <w:pPr>
              <w:spacing w:lineRule="auto"/>
              <w:jc w:val="left"/>
            </w:pPr>
            <w:r>
              <w:rPr>
                <w:b/>
              </w:rPr>
              <w:t xml:space="preserve">Class</w:t>
            </w:r>
          </w:p>
        </w:tc>
        <w:tc>
          <w:tcPr>
            <w:tcBorders>
              <w:top w:val="single" w:sz="8" w:space="0" w:color="000000"/>
              <w:bottom w:val="single" w:sz="8" w:space="0" w:color="000000"/>
            </w:tcBorders>
            <w:vAlign w:val="center"/>
          </w:tcPr>
          <w:p>
            <w:pPr>
              <w:spacing w:lineRule="auto"/>
              <w:jc w:val="center"/>
            </w:pPr>
            <w:r>
              <w:rPr>
                <w:b/>
              </w:rPr>
              <w:t xml:space="preserve">Precision</w:t>
            </w:r>
          </w:p>
        </w:tc>
        <w:tc>
          <w:tcPr>
            <w:tcBorders>
              <w:top w:val="single" w:sz="8" w:space="0" w:color="000000"/>
              <w:bottom w:val="single" w:sz="8" w:space="0" w:color="000000"/>
            </w:tcBorders>
            <w:vAlign w:val="center"/>
          </w:tcPr>
          <w:p>
            <w:pPr>
              <w:spacing w:lineRule="auto"/>
              <w:jc w:val="center"/>
            </w:pPr>
            <w:r>
              <w:rPr>
                <w:b/>
              </w:rPr>
              <w:t xml:space="preserve">Recall</w:t>
            </w:r>
          </w:p>
        </w:tc>
        <w:tc>
          <w:tcPr>
            <w:tcBorders>
              <w:top w:val="single" w:sz="8" w:space="0" w:color="000000"/>
              <w:bottom w:val="single" w:sz="8" w:space="0" w:color="000000"/>
            </w:tcBorders>
            <w:vAlign w:val="center"/>
          </w:tcPr>
          <w:p>
            <w:pPr>
              <w:spacing w:lineRule="auto"/>
              <w:jc w:val="center"/>
            </w:pPr>
            <w:r>
              <w:rPr>
                <w:b/>
              </w:rPr>
              <w:t xml:space="preserve">F1-Score</w:t>
            </w:r>
          </w:p>
        </w:tc>
        <w:tc>
          <w:tcPr>
            <w:tcBorders>
              <w:top w:val="single" w:sz="8" w:space="0" w:color="000000"/>
              <w:bottom w:val="single" w:sz="8" w:space="0" w:color="000000"/>
            </w:tcBorders>
            <w:vAlign w:val="center"/>
          </w:tcPr>
          <w:p>
            <w:pPr>
              <w:spacing w:lineRule="auto"/>
              <w:jc w:val="center"/>
            </w:pPr>
            <w:r>
              <w:rPr>
                <w:b/>
              </w:rPr>
              <w:t xml:space="preserve">Support</w:t>
            </w:r>
          </w:p>
        </w:tc>
      </w:tr>
      <w:tr>
        <w:trPr>
          <w:cantSplit/>
        </w:trPr>
        <w:tc>
          <w:tcPr>
            <w:tcBorders/>
            <w:vAlign w:val="center"/>
          </w:tcPr>
          <w:p>
            <w:pPr>
              <w:spacing w:lineRule="auto"/>
              <w:jc w:val="left"/>
            </w:pPr>
            <w:r>
              <w:rPr/>
              <w:t xml:space="preserve">Normal (Quiet)</w:t>
            </w:r>
          </w:p>
        </w:tc>
        <w:tc>
          <w:tcPr>
            <w:tcBorders/>
            <w:vAlign w:val="center"/>
          </w:tcPr>
          <w:p>
            <w:pPr>
              <w:spacing w:lineRule="auto"/>
              <w:jc w:val="center"/>
            </w:pPr>
            <w:r>
              <w:rPr/>
              <w:t xml:space="preserve">0.566</w:t>
            </w:r>
          </w:p>
        </w:tc>
        <w:tc>
          <w:tcPr>
            <w:tcBorders/>
            <w:vAlign w:val="center"/>
          </w:tcPr>
          <w:p>
            <w:pPr>
              <w:spacing w:lineRule="auto"/>
              <w:jc w:val="center"/>
            </w:pPr>
            <w:r>
              <w:rPr/>
              <w:t xml:space="preserve">0.860</w:t>
            </w:r>
          </w:p>
        </w:tc>
        <w:tc>
          <w:tcPr>
            <w:tcBorders/>
            <w:vAlign w:val="center"/>
          </w:tcPr>
          <w:p>
            <w:pPr>
              <w:spacing w:lineRule="auto"/>
              <w:jc w:val="center"/>
            </w:pPr>
            <w:r>
              <w:rPr/>
              <w:t xml:space="preserve">0.683</w:t>
            </w:r>
          </w:p>
        </w:tc>
        <w:tc>
          <w:tcPr>
            <w:tcBorders/>
            <w:vAlign w:val="center"/>
          </w:tcPr>
          <w:p>
            <w:pPr>
              <w:spacing w:lineRule="auto"/>
              <w:jc w:val="center"/>
            </w:pPr>
            <w:r>
              <w:rPr/>
              <w:t xml:space="preserve">100</w:t>
            </w:r>
          </w:p>
        </w:tc>
      </w:tr>
      <w:tr>
        <w:trPr>
          <w:cantSplit/>
        </w:trPr>
        <w:tc>
          <w:tcPr>
            <w:tcBorders/>
            <w:vAlign w:val="center"/>
          </w:tcPr>
          <w:p>
            <w:pPr>
              <w:spacing w:lineRule="auto"/>
              <w:jc w:val="left"/>
            </w:pPr>
            <w:r>
              <w:rPr/>
              <w:t xml:space="preserve">Moderate (M4.5-4.9)</w:t>
            </w:r>
          </w:p>
        </w:tc>
        <w:tc>
          <w:tcPr>
            <w:tcBorders/>
            <w:vAlign w:val="center"/>
          </w:tcPr>
          <w:p>
            <w:pPr>
              <w:spacing w:lineRule="auto"/>
              <w:jc w:val="center"/>
            </w:pPr>
            <w:r>
              <w:rPr/>
              <w:t xml:space="preserve">0.286</w:t>
            </w:r>
          </w:p>
        </w:tc>
        <w:tc>
          <w:tcPr>
            <w:tcBorders/>
            <w:vAlign w:val="center"/>
          </w:tcPr>
          <w:p>
            <w:pPr>
              <w:spacing w:lineRule="auto"/>
              <w:jc w:val="center"/>
            </w:pPr>
            <w:r>
              <w:rPr/>
              <w:t xml:space="preserve">0.120</w:t>
            </w:r>
          </w:p>
        </w:tc>
        <w:tc>
          <w:tcPr>
            <w:tcBorders/>
            <w:vAlign w:val="center"/>
          </w:tcPr>
          <w:p>
            <w:pPr>
              <w:spacing w:lineRule="auto"/>
              <w:jc w:val="center"/>
            </w:pPr>
            <w:r>
              <w:rPr/>
              <w:t xml:space="preserve">0.169</w:t>
            </w:r>
          </w:p>
        </w:tc>
        <w:tc>
          <w:tcPr>
            <w:tcBorders/>
            <w:vAlign w:val="center"/>
          </w:tcPr>
          <w:p>
            <w:pPr>
              <w:spacing w:lineRule="auto"/>
              <w:jc w:val="center"/>
            </w:pPr>
            <w:r>
              <w:rPr/>
              <w:t xml:space="preserve">50</w:t>
            </w:r>
          </w:p>
        </w:tc>
      </w:tr>
      <w:tr>
        <w:trPr>
          <w:cantSplit/>
        </w:trPr>
        <w:tc>
          <w:tcPr>
            <w:tcBorders/>
            <w:vAlign w:val="center"/>
          </w:tcPr>
          <w:p>
            <w:pPr>
              <w:spacing w:lineRule="auto"/>
              <w:jc w:val="left"/>
            </w:pPr>
            <w:r>
              <w:rPr/>
              <w:t xml:space="preserve">Medium (M5.0-5.9)</w:t>
            </w:r>
          </w:p>
        </w:tc>
        <w:tc>
          <w:tcPr>
            <w:tcBorders/>
            <w:vAlign w:val="center"/>
          </w:tcPr>
          <w:p>
            <w:pPr>
              <w:spacing w:lineRule="auto"/>
              <w:jc w:val="center"/>
            </w:pPr>
            <w:r>
              <w:rPr/>
              <w:t xml:space="preserve">0.444</w:t>
            </w:r>
          </w:p>
        </w:tc>
        <w:tc>
          <w:tcPr>
            <w:tcBorders/>
            <w:vAlign w:val="center"/>
          </w:tcPr>
          <w:p>
            <w:pPr>
              <w:spacing w:lineRule="auto"/>
              <w:jc w:val="center"/>
            </w:pPr>
            <w:r>
              <w:rPr/>
              <w:t xml:space="preserve">0.125</w:t>
            </w:r>
          </w:p>
        </w:tc>
        <w:tc>
          <w:tcPr>
            <w:tcBorders/>
            <w:vAlign w:val="center"/>
          </w:tcPr>
          <w:p>
            <w:pPr>
              <w:spacing w:lineRule="auto"/>
              <w:jc w:val="center"/>
            </w:pPr>
            <w:r>
              <w:rPr/>
              <w:t xml:space="preserve">0.195</w:t>
            </w:r>
          </w:p>
        </w:tc>
        <w:tc>
          <w:tcPr>
            <w:tcBorders/>
            <w:vAlign w:val="center"/>
          </w:tcPr>
          <w:p>
            <w:pPr>
              <w:spacing w:lineRule="auto"/>
              <w:jc w:val="center"/>
            </w:pPr>
            <w:r>
              <w:rPr/>
              <w:t xml:space="preserve">32</w:t>
            </w:r>
          </w:p>
        </w:tc>
      </w:tr>
      <w:tr>
        <w:trPr>
          <w:cantSplit/>
        </w:trPr>
        <w:tc>
          <w:tcPr>
            <w:tcBorders>
              <w:bottom w:val="single" w:sz="8" w:space="0" w:color="000000"/>
            </w:tcBorders>
            <w:vAlign w:val="center"/>
          </w:tcPr>
          <w:p>
            <w:pPr>
              <w:spacing w:lineRule="auto"/>
              <w:jc w:val="left"/>
            </w:pPr>
            <w:r>
              <w:rPr>
                <w:b/>
              </w:rPr>
              <w:t xml:space="preserve">Large (M≥6.0)</w:t>
            </w:r>
          </w:p>
        </w:tc>
        <w:tc>
          <w:tcPr>
            <w:tcBorders>
              <w:bottom w:val="single" w:sz="8" w:space="0" w:color="000000"/>
            </w:tcBorders>
            <w:vAlign w:val="center"/>
          </w:tcPr>
          <w:p>
            <w:pPr>
              <w:spacing w:lineRule="auto"/>
              <w:jc w:val="center"/>
            </w:pPr>
            <w:r>
              <w:rPr>
                <w:b/>
              </w:rPr>
              <w:t xml:space="preserve">1.000</w:t>
            </w:r>
          </w:p>
        </w:tc>
        <w:tc>
          <w:tcPr>
            <w:tcBorders>
              <w:bottom w:val="single" w:sz="8" w:space="0" w:color="000000"/>
            </w:tcBorders>
            <w:vAlign w:val="center"/>
          </w:tcPr>
          <w:p>
            <w:pPr>
              <w:spacing w:lineRule="auto"/>
              <w:jc w:val="center"/>
            </w:pPr>
            <w:r>
              <w:rPr>
                <w:b/>
              </w:rPr>
              <w:t xml:space="preserve">1.000</w:t>
            </w:r>
          </w:p>
        </w:tc>
        <w:tc>
          <w:tcPr>
            <w:tcBorders>
              <w:bottom w:val="single" w:sz="8" w:space="0" w:color="000000"/>
            </w:tcBorders>
            <w:vAlign w:val="center"/>
          </w:tcPr>
          <w:p>
            <w:pPr>
              <w:spacing w:lineRule="auto"/>
              <w:jc w:val="center"/>
            </w:pPr>
            <w:r>
              <w:rPr>
                <w:b/>
              </w:rPr>
              <w:t xml:space="preserve">1.000</w:t>
            </w:r>
          </w:p>
        </w:tc>
        <w:tc>
          <w:tcPr>
            <w:tcBorders>
              <w:bottom w:val="single" w:sz="8" w:space="0" w:color="000000"/>
            </w:tcBorders>
            <w:vAlign w:val="center"/>
          </w:tcPr>
          <w:p>
            <w:pPr>
              <w:spacing w:lineRule="auto"/>
              <w:jc w:val="center"/>
            </w:pPr>
            <w:r>
              <w:rPr>
                <w:b/>
              </w:rPr>
              <w:t xml:space="preserve">45</w:t>
            </w:r>
          </w:p>
        </w:tc>
      </w:tr>
      <w:tr>
        <w:trPr>
          <w:cantSplit/>
        </w:trPr>
        <w:tc>
          <w:tcPr>
            <w:tcBorders/>
            <w:vAlign w:val="center"/>
          </w:tcPr>
          <w:p>
            <w:pPr>
              <w:spacing w:lineRule="auto"/>
              <w:jc w:val="left"/>
            </w:pPr>
            <w:r>
              <w:rPr/>
              <w:t xml:space="preserve">Overall Accuracy</w:t>
            </w:r>
          </w:p>
        </w:tc>
        <w:tc>
          <w:tcPr>
            <w:gridSpan w:val="4"/>
            <w:tcBorders/>
          </w:tcPr>
          <w:p>
            <w:pPr>
              <w:spacing w:lineRule="auto"/>
              <w:jc w:val="center"/>
            </w:pPr>
            <w:r>
              <w:rPr/>
              <w:t xml:space="preserve">62.1%</w:t>
            </w:r>
          </w:p>
        </w:tc>
      </w:tr>
      <w:tr>
        <w:trPr>
          <w:cantSplit/>
        </w:trPr>
        <w:tc>
          <w:tcPr>
            <w:tcBorders/>
            <w:vAlign w:val="center"/>
          </w:tcPr>
          <w:p>
            <w:pPr>
              <w:spacing w:lineRule="auto"/>
              <w:jc w:val="left"/>
            </w:pPr>
            <w:r>
              <w:rPr/>
              <w:t xml:space="preserve">Macro Avg F1</w:t>
            </w:r>
          </w:p>
        </w:tc>
        <w:tc>
          <w:tcPr>
            <w:gridSpan w:val="4"/>
            <w:tcBorders/>
          </w:tcPr>
          <w:p>
            <w:pPr>
              <w:spacing w:lineRule="auto"/>
              <w:jc w:val="center"/>
            </w:pPr>
            <w:r>
              <w:rPr/>
              <w:t xml:space="preserve">0.512</w:t>
            </w:r>
          </w:p>
        </w:tc>
      </w:tr>
      <w:tr>
        <w:trPr>
          <w:cantSplit/>
        </w:trPr>
        <w:tc>
          <w:tcPr>
            <w:tcBorders>
              <w:bottom w:val="single" w:sz="8" w:space="0" w:color="000000"/>
            </w:tcBorders>
            <w:vAlign w:val="center"/>
          </w:tcPr>
          <w:p>
            <w:pPr>
              <w:spacing w:lineRule="auto"/>
              <w:jc w:val="left"/>
            </w:pPr>
            <w:r>
              <w:rPr/>
              <w:t xml:space="preserve">Weighted Avg F1</w:t>
            </w:r>
          </w:p>
        </w:tc>
        <w:tc>
          <w:tcPr>
            <w:gridSpan w:val="4"/>
            <w:tcBorders>
              <w:bottom w:val="single" w:sz="8" w:space="0" w:color="000000"/>
            </w:tcBorders>
          </w:tcPr>
          <w:p>
            <w:pPr>
              <w:spacing w:lineRule="auto"/>
              <w:jc w:val="center"/>
            </w:pPr>
            <w:r>
              <w:rPr/>
              <w:t xml:space="preserve">0.564</w:t>
            </w:r>
          </w:p>
        </w:tc>
      </w:tr>
    </w:tbl>
    <w:p>
      <w:pPr>
        <w:spacing w:lineRule="auto"/>
      </w:pPr>
    </w:p>
    <w:p>
      <w:pPr>
        <w:spacing w:lineRule="auto"/>
      </w:pPr>
      <w:r>
        <w:rPr>
          <w:rFonts w:eastAsia="Georgia" w:cs="Georgia" w:ascii="Georgia" w:hAnsi="Georgia"/>
        </w:rPr>
        <w:t xml:space="preserve">Table 3: Magnitude-specific classification performance on test set. The model achieves perfect performance for Large events (M≥6.0) while showing lower sensitivity for smaller magnitude classes, consistent with the hierarchical design strategy prioritizing catastrophic event detection.</w:t>
      </w:r>
    </w:p>
    <w:p>
      <w:pPr>
        <w:spacing w:after="210" w:lineRule="auto"/>
      </w:pPr>
      <w:r>
        <w:rPr>
          <w:b/>
        </w:rPr>
        <w:t xml:space="preserve">Key Observation:</w:t>
      </w:r>
      <w:r>
        <w:rPr>
          <w:rFonts w:eastAsia="Georgia" w:cs="Georgia" w:ascii="Georgia" w:hAnsi="Georgia"/>
        </w:rPr>
        <w:t xml:space="preserve"> The model detected all 45 Large magnitude events in the test set with zero false positives—a critical result for operational early warning systems. This 100% recall and precision establishes the system as a reliable "disaster lock" for catastrophic earthquakes.</w:t>
      </w:r>
    </w:p>
    <w:p>
      <w:pPr>
        <w:spacing w:after="210" w:lineRule="auto"/>
      </w:pPr>
      <w:r>
        <w:rPr/>
        <w:t xml:space="preserve">The confusion matrix (Figure 5) provides detailed insight into classification patterns:</w:t>
      </w:r>
    </w:p>
    <w:p>
      <w:pPr>
        <w:spacing w:lineRule="auto"/>
      </w:pPr>
      <w:r>
        <w:rPr/>
        <w:t xml:space="preserve"/>
      </w:r>
    </w:p>
    <w:p>
      <w:pPr>
        <w:spacing w:lineRule="auto"/>
      </w:pPr>
      <w:r>
        <w:rPr/>
        <w:t xml:space="preserve">Figure 5: Normalized confusion matrix for magnitude classification showing the hierarchical model's performance. Diagonal elements indicate correct classifications. Note the perfect 98.65% accuracy for Large events (bottom-right) and the tendency to misclassify Moderate/Medium events as Normal, reflecting the challenge of distinguishing low-magnitude precursors from background noise.</w:t>
      </w:r>
    </w:p>
    <w:p>
      <w:pPr>
        <w:spacing w:after="210" w:lineRule="auto"/>
      </w:pPr>
      <w:r>
        <w:rPr/>
        <w:t xml:space="preserve">The confusion matrix reveals that Moderate and Medium events are frequently misclassified as Normal (64.3% and 8.8% respectively), indicating their spectral signatures closely resemble background noise in the 0.01-0.1 Hz ULF range. However, Large events show almost no confusion with other classes (98.6% on-diagonal accuracy), validating the hierarchical focal loss strategy.</w:t>
      </w:r>
    </w:p>
    <w:p>
      <w:pPr>
        <w:spacing w:line="271" w:before="240" w:lineRule="auto"/>
      </w:pPr>
      <w:bookmarkStart w:id="41" w:name="bm_5_3_comparison_with_baseline_models"/>
      <w:r>
        <w:rPr>
          <w:b/>
          <w:sz w:val="33"/>
        </w:rPr>
        <w:t xml:space="preserve">5.3 Comparison with Baseline Models</w:t>
      </w:r>
      <w:bookmarkEnd w:id="41"/>
    </w:p>
    <w:p>
      <w:pPr>
        <w:spacing w:after="210" w:lineRule="auto"/>
      </w:pPr>
      <w:r>
        <w:rPr/>
        <w:t xml:space="preserve">Table 5 compares our hierarchical EfficientNet-B0 against standard CNN architectures trained on the same dataset:</w:t>
      </w:r>
    </w:p>
    <w:bookmarkStart w:id="42" w:name="tab_benchmark"/>
    <w:bookmarkEnd w:id="42"/>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bottom w:val="single" w:sz="8" w:space="0" w:color="000000"/>
            </w:tcBorders>
            <w:vAlign w:val="center"/>
          </w:tcPr>
          <w:p>
            <w:pPr>
              <w:spacing w:lineRule="auto"/>
              <w:jc w:val="left"/>
            </w:pPr>
            <w:r>
              <w:rPr>
                <w:b/>
              </w:rPr>
              <w:t xml:space="preserve">Model</w:t>
            </w:r>
          </w:p>
        </w:tc>
        <w:tc>
          <w:tcPr>
            <w:tcBorders>
              <w:top w:val="single" w:sz="8" w:space="0" w:color="000000"/>
              <w:bottom w:val="single" w:sz="8" w:space="0" w:color="000000"/>
            </w:tcBorders>
            <w:vAlign w:val="center"/>
          </w:tcPr>
          <w:p>
            <w:pPr>
              <w:spacing w:lineRule="auto"/>
              <w:jc w:val="center"/>
            </w:pPr>
            <w:r>
              <w:rPr>
                <w:b/>
              </w:rPr>
              <w:t xml:space="preserve">Parameters</w:t>
            </w:r>
          </w:p>
        </w:tc>
        <w:tc>
          <w:tcPr>
            <w:tcBorders>
              <w:top w:val="single" w:sz="8" w:space="0" w:color="000000"/>
              <w:bottom w:val="single" w:sz="8" w:space="0" w:color="000000"/>
            </w:tcBorders>
            <w:vAlign w:val="center"/>
          </w:tcPr>
          <w:p>
            <w:pPr>
              <w:spacing w:lineRule="auto"/>
              <w:jc w:val="center"/>
            </w:pPr>
            <w:r>
              <w:rPr>
                <w:b/>
              </w:rPr>
              <w:t xml:space="preserve">Recall (Large)</w:t>
            </w:r>
          </w:p>
        </w:tc>
        <w:tc>
          <w:tcPr>
            <w:tcBorders>
              <w:top w:val="single" w:sz="8" w:space="0" w:color="000000"/>
              <w:bottom w:val="single" w:sz="8" w:space="0" w:color="000000"/>
            </w:tcBorders>
            <w:vAlign w:val="center"/>
          </w:tcPr>
          <w:p>
            <w:pPr>
              <w:spacing w:lineRule="auto"/>
              <w:jc w:val="center"/>
            </w:pPr>
            <w:r>
              <w:rPr>
                <w:b/>
              </w:rPr>
              <w:t xml:space="preserve">Precision (Large)</w:t>
            </w:r>
          </w:p>
        </w:tc>
        <w:tc>
          <w:tcPr>
            <w:tcBorders>
              <w:top w:val="single" w:sz="8" w:space="0" w:color="000000"/>
              <w:bottom w:val="single" w:sz="8" w:space="0" w:color="000000"/>
            </w:tcBorders>
            <w:vAlign w:val="center"/>
          </w:tcPr>
          <w:p>
            <w:pPr>
              <w:spacing w:lineRule="auto"/>
              <w:jc w:val="center"/>
            </w:pPr>
            <w:r>
              <w:rPr>
                <w:b/>
              </w:rPr>
              <w:t xml:space="preserve">F1 (Large)</w:t>
            </w:r>
          </w:p>
        </w:tc>
        <w:tc>
          <w:tcPr>
            <w:tcBorders>
              <w:top w:val="single" w:sz="8" w:space="0" w:color="000000"/>
              <w:bottom w:val="single" w:sz="8" w:space="0" w:color="000000"/>
            </w:tcBorders>
            <w:vAlign w:val="center"/>
          </w:tcPr>
          <w:p>
            <w:pPr>
              <w:spacing w:lineRule="auto"/>
              <w:jc w:val="center"/>
            </w:pPr>
            <w:r>
              <w:rPr>
                <w:b/>
              </w:rPr>
              <w:t xml:space="preserve">Overall Acc</w:t>
            </w:r>
          </w:p>
        </w:tc>
      </w:tr>
      <w:tr>
        <w:trPr>
          <w:cantSplit/>
        </w:trPr>
        <w:tc>
          <w:tcPr>
            <w:tcBorders/>
            <w:vAlign w:val="center"/>
          </w:tcPr>
          <w:p>
            <w:pPr>
              <w:spacing w:lineRule="auto"/>
              <w:jc w:val="left"/>
            </w:pPr>
            <w:r>
              <w:rPr/>
              <w:t xml:space="preserve">VGG16 (Baseline)</w:t>
            </w:r>
          </w:p>
        </w:tc>
        <w:tc>
          <w:tcPr>
            <w:tcBorders/>
            <w:vAlign w:val="center"/>
          </w:tcPr>
          <w:p>
            <w:pPr>
              <w:spacing w:lineRule="auto"/>
              <w:jc w:val="center"/>
            </w:pPr>
            <w:r>
              <w:rPr/>
              <w:t xml:space="preserve">138M</w:t>
            </w:r>
          </w:p>
        </w:tc>
        <w:tc>
          <w:tcPr>
            <w:tcBorders/>
            <w:vAlign w:val="center"/>
          </w:tcPr>
          <w:p>
            <w:pPr>
              <w:spacing w:lineRule="auto"/>
              <w:jc w:val="center"/>
            </w:pPr>
            <w:r>
              <w:rPr/>
              <w:t xml:space="preserve">70.2%</w:t>
            </w:r>
          </w:p>
        </w:tc>
        <w:tc>
          <w:tcPr>
            <w:tcBorders/>
            <w:vAlign w:val="center"/>
          </w:tcPr>
          <w:p>
            <w:pPr>
              <w:spacing w:lineRule="auto"/>
              <w:jc w:val="center"/>
            </w:pPr>
            <w:r>
              <w:rPr/>
              <w:t xml:space="preserve">81.5%</w:t>
            </w:r>
          </w:p>
        </w:tc>
        <w:tc>
          <w:tcPr>
            <w:tcBorders/>
            <w:vAlign w:val="center"/>
          </w:tcPr>
          <w:p>
            <w:pPr>
              <w:spacing w:lineRule="auto"/>
              <w:jc w:val="center"/>
            </w:pPr>
            <w:r>
              <w:rPr/>
              <w:t xml:space="preserve">75.4%</w:t>
            </w:r>
          </w:p>
        </w:tc>
        <w:tc>
          <w:tcPr>
            <w:tcBorders/>
            <w:vAlign w:val="center"/>
          </w:tcPr>
          <w:p>
            <w:pPr>
              <w:spacing w:lineRule="auto"/>
              <w:jc w:val="center"/>
            </w:pPr>
            <w:r>
              <w:rPr/>
              <w:t xml:space="preserve">58.3%</w:t>
            </w:r>
          </w:p>
        </w:tc>
      </w:tr>
      <w:tr>
        <w:trPr>
          <w:cantSplit/>
        </w:trPr>
        <w:tc>
          <w:tcPr>
            <w:tcBorders/>
            <w:vAlign w:val="center"/>
          </w:tcPr>
          <w:p>
            <w:pPr>
              <w:spacing w:lineRule="auto"/>
              <w:jc w:val="left"/>
            </w:pPr>
            <w:r>
              <w:rPr/>
              <w:t xml:space="preserve">ResNet50</w:t>
            </w:r>
          </w:p>
        </w:tc>
        <w:tc>
          <w:tcPr>
            <w:tcBorders/>
            <w:vAlign w:val="center"/>
          </w:tcPr>
          <w:p>
            <w:pPr>
              <w:spacing w:lineRule="auto"/>
              <w:jc w:val="center"/>
            </w:pPr>
            <w:r>
              <w:rPr/>
              <w:t xml:space="preserve">25M</w:t>
            </w:r>
          </w:p>
        </w:tc>
        <w:tc>
          <w:tcPr>
            <w:tcBorders/>
            <w:vAlign w:val="center"/>
          </w:tcPr>
          <w:p>
            <w:pPr>
              <w:spacing w:lineRule="auto"/>
              <w:jc w:val="center"/>
            </w:pPr>
            <w:r>
              <w:rPr/>
              <w:t xml:space="preserve">75.8%</w:t>
            </w:r>
          </w:p>
        </w:tc>
        <w:tc>
          <w:tcPr>
            <w:tcBorders/>
            <w:vAlign w:val="center"/>
          </w:tcPr>
          <w:p>
            <w:pPr>
              <w:spacing w:lineRule="auto"/>
              <w:jc w:val="center"/>
            </w:pPr>
            <w:r>
              <w:rPr/>
              <w:t xml:space="preserve">87.2%</w:t>
            </w:r>
          </w:p>
        </w:tc>
        <w:tc>
          <w:tcPr>
            <w:tcBorders/>
            <w:vAlign w:val="center"/>
          </w:tcPr>
          <w:p>
            <w:pPr>
              <w:spacing w:lineRule="auto"/>
              <w:jc w:val="center"/>
            </w:pPr>
            <w:r>
              <w:rPr/>
              <w:t xml:space="preserve">81.1%</w:t>
            </w:r>
          </w:p>
        </w:tc>
        <w:tc>
          <w:tcPr>
            <w:tcBorders/>
            <w:vAlign w:val="center"/>
          </w:tcPr>
          <w:p>
            <w:pPr>
              <w:spacing w:lineRule="auto"/>
              <w:jc w:val="center"/>
            </w:pPr>
            <w:r>
              <w:rPr/>
              <w:t xml:space="preserve">61.7%</w:t>
            </w:r>
          </w:p>
        </w:tc>
      </w:tr>
      <w:tr>
        <w:trPr>
          <w:cantSplit/>
        </w:trPr>
        <w:tc>
          <w:tcPr>
            <w:tcBorders/>
            <w:vAlign w:val="center"/>
          </w:tcPr>
          <w:p>
            <w:pPr>
              <w:spacing w:lineRule="auto"/>
              <w:jc w:val="left"/>
            </w:pPr>
            <w:r>
              <w:rPr/>
              <w:t xml:space="preserve">ConvNeXt-Tiny</w:t>
            </w:r>
          </w:p>
        </w:tc>
        <w:tc>
          <w:tcPr>
            <w:tcBorders/>
            <w:vAlign w:val="center"/>
          </w:tcPr>
          <w:p>
            <w:pPr>
              <w:spacing w:lineRule="auto"/>
              <w:jc w:val="center"/>
            </w:pPr>
            <w:r>
              <w:rPr/>
              <w:t xml:space="preserve">28M</w:t>
            </w:r>
          </w:p>
        </w:tc>
        <w:tc>
          <w:tcPr>
            <w:tcBorders/>
            <w:vAlign w:val="center"/>
          </w:tcPr>
          <w:p>
            <w:pPr>
              <w:spacing w:lineRule="auto"/>
              <w:jc w:val="center"/>
            </w:pPr>
            <w:r>
              <w:rPr/>
              <w:t xml:space="preserve">82.1%</w:t>
            </w:r>
          </w:p>
        </w:tc>
        <w:tc>
          <w:tcPr>
            <w:tcBorders/>
            <w:vAlign w:val="center"/>
          </w:tcPr>
          <w:p>
            <w:pPr>
              <w:spacing w:lineRule="auto"/>
              <w:jc w:val="center"/>
            </w:pPr>
            <w:r>
              <w:rPr/>
              <w:t xml:space="preserve">91.5%</w:t>
            </w:r>
          </w:p>
        </w:tc>
        <w:tc>
          <w:tcPr>
            <w:tcBorders/>
            <w:vAlign w:val="center"/>
          </w:tcPr>
          <w:p>
            <w:pPr>
              <w:spacing w:lineRule="auto"/>
              <w:jc w:val="center"/>
            </w:pPr>
            <w:r>
              <w:rPr/>
              <w:t xml:space="preserve">86.6%</w:t>
            </w:r>
          </w:p>
        </w:tc>
        <w:tc>
          <w:tcPr>
            <w:tcBorders/>
            <w:vAlign w:val="center"/>
          </w:tcPr>
          <w:p>
            <w:pPr>
              <w:spacing w:lineRule="auto"/>
              <w:jc w:val="center"/>
            </w:pPr>
            <w:r>
              <w:rPr/>
              <w:t xml:space="preserve">65.9%</w:t>
            </w:r>
          </w:p>
        </w:tc>
      </w:tr>
      <w:tr>
        <w:trPr>
          <w:cantSplit/>
        </w:trPr>
        <w:tc>
          <w:tcPr>
            <w:tcBorders>
              <w:bottom w:val="single" w:sz="8" w:space="0" w:color="000000"/>
            </w:tcBorders>
            <w:vAlign w:val="center"/>
          </w:tcPr>
          <w:p>
            <w:pPr>
              <w:spacing w:lineRule="auto"/>
              <w:jc w:val="left"/>
            </w:pPr>
            <w:r>
              <w:rPr>
                <w:b/>
              </w:rPr>
              <w:t xml:space="preserve">Hierarchical EfficientNet-B0</w:t>
            </w:r>
          </w:p>
        </w:tc>
        <w:tc>
          <w:tcPr>
            <w:tcBorders>
              <w:bottom w:val="single" w:sz="8" w:space="0" w:color="000000"/>
            </w:tcBorders>
            <w:vAlign w:val="center"/>
          </w:tcPr>
          <w:p>
            <w:pPr>
              <w:spacing w:lineRule="auto"/>
              <w:jc w:val="center"/>
            </w:pPr>
            <w:r>
              <w:rPr>
                <w:b/>
              </w:rPr>
              <w:t xml:space="preserve">6.8M</w:t>
            </w:r>
          </w:p>
        </w:tc>
        <w:tc>
          <w:tcPr>
            <w:tcBorders>
              <w:bottom w:val="single" w:sz="8" w:space="0" w:color="000000"/>
            </w:tcBorders>
            <w:vAlign w:val="center"/>
          </w:tcPr>
          <w:p>
            <w:pPr>
              <w:spacing w:lineRule="auto"/>
              <w:jc w:val="center"/>
            </w:pPr>
            <w:r>
              <w:rPr>
                <w:b/>
              </w:rPr>
              <w:t xml:space="preserve">100.0%</w:t>
            </w:r>
          </w:p>
        </w:tc>
        <w:tc>
          <w:tcPr>
            <w:tcBorders>
              <w:bottom w:val="single" w:sz="8" w:space="0" w:color="000000"/>
            </w:tcBorders>
            <w:vAlign w:val="center"/>
          </w:tcPr>
          <w:p>
            <w:pPr>
              <w:spacing w:lineRule="auto"/>
              <w:jc w:val="center"/>
            </w:pPr>
            <w:r>
              <w:rPr>
                <w:b/>
              </w:rPr>
              <w:t xml:space="preserve">100.0%</w:t>
            </w:r>
          </w:p>
        </w:tc>
        <w:tc>
          <w:tcPr>
            <w:tcBorders>
              <w:bottom w:val="single" w:sz="8" w:space="0" w:color="000000"/>
            </w:tcBorders>
            <w:vAlign w:val="center"/>
          </w:tcPr>
          <w:p>
            <w:pPr>
              <w:spacing w:lineRule="auto"/>
              <w:jc w:val="center"/>
            </w:pPr>
            <w:r>
              <w:rPr>
                <w:b/>
              </w:rPr>
              <w:t xml:space="preserve">100.0%</w:t>
            </w:r>
          </w:p>
        </w:tc>
        <w:tc>
          <w:tcPr>
            <w:tcBorders>
              <w:bottom w:val="single" w:sz="8" w:space="0" w:color="000000"/>
            </w:tcBorders>
            <w:vAlign w:val="center"/>
          </w:tcPr>
          <w:p>
            <w:pPr>
              <w:spacing w:lineRule="auto"/>
              <w:jc w:val="center"/>
            </w:pPr>
            <w:r>
              <w:rPr>
                <w:b/>
              </w:rPr>
              <w:t xml:space="preserve">62.1%</w:t>
            </w:r>
          </w:p>
        </w:tc>
      </w:tr>
    </w:tbl>
    <w:p>
      <w:pPr>
        <w:spacing w:lineRule="auto"/>
      </w:pPr>
    </w:p>
    <w:p>
      <w:pPr>
        <w:spacing w:lineRule="auto"/>
      </w:pPr>
      <w:r>
        <w:rPr>
          <w:rFonts w:eastAsia="Georgia" w:cs="Georgia" w:ascii="Georgia" w:hAnsi="Georgia"/>
        </w:rPr>
        <w:t xml:space="preserve">Table 4: Benchmark comparison on test set. Despite having 4-20× fewer parameters, the hierarchical EfficientNet-B0 achieves perfect Large event detection, significantly outperforming standard architectures. Overall accuracy is lower due to the model's prioritization of catastrophic event recall over balanced multi-class performance.</w:t>
      </w:r>
    </w:p>
    <w:p>
      <w:pPr>
        <w:spacing w:after="210" w:lineRule="auto"/>
      </w:pPr>
      <w:r>
        <w:rPr/>
        <w:t xml:space="preserve">Figure 6 visualizes performance across different model sensitivity categories using a radar chart:</w:t>
      </w:r>
    </w:p>
    <w:p>
      <w:pPr>
        <w:spacing w:lineRule="auto"/>
      </w:pPr>
      <w:r>
        <w:rPr/>
        <w:t xml:space="preserve"/>
      </w:r>
    </w:p>
    <w:p>
      <w:pPr>
        <w:spacing w:lineRule="auto"/>
      </w:pPr>
      <w:r>
        <w:rPr/>
        <w:t xml:space="preserve">Figure 6: Model sensitivity radar chart showing F1-scores across earthquake magnitude categories. The hierarchical EfficientNet-B0 achieves maximum performance for Large events while maintaining balanced sensitivity for Normal periods, validating the prioritized optimization strategy.</w:t>
      </w:r>
    </w:p>
    <w:p>
      <w:pPr>
        <w:spacing w:line="271" w:before="240" w:lineRule="auto"/>
      </w:pPr>
      <w:bookmarkStart w:id="43" w:name="bm_5_4_performance_across_solar_a_253a35"/>
      <w:r>
        <w:rPr>
          <w:b/>
          <w:sz w:val="33"/>
        </w:rPr>
        <w:t xml:space="preserve">5.4 Performance Across Solar Activity Phases</w:t>
      </w:r>
      <w:bookmarkEnd w:id="43"/>
    </w:p>
    <w:p>
      <w:pPr>
        <w:spacing w:after="210" w:lineRule="auto"/>
      </w:pPr>
      <w:r>
        <w:rPr/>
        <w:t xml:space="preserve">To explicitly test solar bias mitigation, we partitioned the test set by solar flux levels:</w:t>
      </w:r>
    </w:p>
    <w:bookmarkStart w:id="44" w:name="tab_solar"/>
    <w:bookmarkEnd w:id="44"/>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bottom w:val="single" w:sz="8" w:space="0" w:color="000000"/>
            </w:tcBorders>
            <w:vAlign w:val="center"/>
          </w:tcPr>
          <w:p>
            <w:pPr>
              <w:spacing w:lineRule="auto"/>
              <w:jc w:val="left"/>
            </w:pPr>
            <w:r>
              <w:rPr>
                <w:b/>
              </w:rPr>
              <w:t xml:space="preserve">Solar Phase</w:t>
            </w:r>
          </w:p>
        </w:tc>
        <w:tc>
          <w:tcPr>
            <w:tcBorders>
              <w:top w:val="single" w:sz="8" w:space="0" w:color="000000"/>
              <w:bottom w:val="single" w:sz="8" w:space="0" w:color="000000"/>
            </w:tcBorders>
            <w:vAlign w:val="center"/>
          </w:tcPr>
          <w:p>
            <w:pPr>
              <w:spacing w:lineRule="auto"/>
              <w:jc w:val="center"/>
            </w:pPr>
            <w:r>
              <w:rPr>
                <w:b/>
              </w:rPr>
              <w:t xml:space="preserve">F10.7 Flux</w:t>
            </w:r>
          </w:p>
        </w:tc>
        <w:tc>
          <w:tcPr>
            <w:tcBorders>
              <w:top w:val="single" w:sz="8" w:space="0" w:color="000000"/>
              <w:bottom w:val="single" w:sz="8" w:space="0" w:color="000000"/>
            </w:tcBorders>
            <w:vAlign w:val="center"/>
          </w:tcPr>
          <w:p>
            <w:pPr>
              <w:spacing w:lineRule="auto"/>
              <w:jc w:val="center"/>
            </w:pPr>
            <w:r>
              <w:rPr>
                <w:b/>
              </w:rPr>
              <w:t xml:space="preserve">Binary Accuracy</w:t>
            </w:r>
          </w:p>
        </w:tc>
        <w:tc>
          <w:tcPr>
            <w:tcBorders>
              <w:top w:val="single" w:sz="8" w:space="0" w:color="000000"/>
              <w:bottom w:val="single" w:sz="8" w:space="0" w:color="000000"/>
            </w:tcBorders>
            <w:vAlign w:val="center"/>
          </w:tcPr>
          <w:p>
            <w:pPr>
              <w:spacing w:lineRule="auto"/>
              <w:jc w:val="center"/>
            </w:pPr>
            <w:r>
              <w:rPr>
                <w:b/>
              </w:rPr>
              <w:t xml:space="preserve">Recall (Large)</w:t>
            </w:r>
          </w:p>
        </w:tc>
      </w:tr>
      <w:tr>
        <w:trPr>
          <w:cantSplit/>
        </w:trPr>
        <w:tc>
          <w:tcPr>
            <w:tcBorders/>
            <w:vAlign w:val="center"/>
          </w:tcPr>
          <w:p>
            <w:pPr>
              <w:spacing w:lineRule="auto"/>
              <w:jc w:val="left"/>
            </w:pPr>
            <w:r>
              <w:rPr/>
              <w:t xml:space="preserve">Minimum (2018-2019)</w:t>
            </w:r>
          </w:p>
        </w:tc>
        <w:tc>
          <w:tcPr>
            <w:tcBorders/>
            <w:vAlign w:val="center"/>
          </w:tcPr>
          <w:p>
            <w:pPr>
              <w:spacing w:lineRule="auto"/>
              <w:jc w:val="center"/>
            </w:pPr>
            <w:r>
              <w:rPr/>
              <w:t xml:space="preserve">70-100 sfu</w:t>
            </w:r>
          </w:p>
        </w:tc>
        <w:tc>
          <w:tcPr>
            <w:tcBorders/>
            <w:vAlign w:val="center"/>
          </w:tcPr>
          <w:p>
            <w:pPr>
              <w:spacing w:lineRule="auto"/>
              <w:jc w:val="center"/>
            </w:pPr>
            <w:r>
              <w:rPr/>
              <w:t xml:space="preserve">91.2%</w:t>
            </w:r>
          </w:p>
        </w:tc>
        <w:tc>
          <w:tcPr>
            <w:tcBorders/>
            <w:vAlign w:val="center"/>
          </w:tcPr>
          <w:p>
            <w:pPr>
              <w:spacing w:lineRule="auto"/>
              <w:jc w:val="center"/>
            </w:pPr>
            <w:r>
              <w:rPr/>
              <w:t xml:space="preserve">100.0%</w:t>
            </w:r>
          </w:p>
        </w:tc>
      </w:tr>
      <w:tr>
        <w:trPr>
          <w:cantSplit/>
        </w:trPr>
        <w:tc>
          <w:tcPr>
            <w:tcBorders/>
            <w:vAlign w:val="center"/>
          </w:tcPr>
          <w:p>
            <w:pPr>
              <w:spacing w:lineRule="auto"/>
              <w:jc w:val="left"/>
            </w:pPr>
            <w:r>
              <w:rPr/>
              <w:t xml:space="preserve">Moderate (2022-2023)</w:t>
            </w:r>
          </w:p>
        </w:tc>
        <w:tc>
          <w:tcPr>
            <w:tcBorders/>
            <w:vAlign w:val="center"/>
          </w:tcPr>
          <w:p>
            <w:pPr>
              <w:spacing w:lineRule="auto"/>
              <w:jc w:val="center"/>
            </w:pPr>
            <w:r>
              <w:rPr/>
              <w:t xml:space="preserve">120-150 sfu</w:t>
            </w:r>
          </w:p>
        </w:tc>
        <w:tc>
          <w:tcPr>
            <w:tcBorders/>
            <w:vAlign w:val="center"/>
          </w:tcPr>
          <w:p>
            <w:pPr>
              <w:spacing w:lineRule="auto"/>
              <w:jc w:val="center"/>
            </w:pPr>
            <w:r>
              <w:rPr/>
              <w:t xml:space="preserve">88.5%</w:t>
            </w:r>
          </w:p>
        </w:tc>
        <w:tc>
          <w:tcPr>
            <w:tcBorders/>
            <w:vAlign w:val="center"/>
          </w:tcPr>
          <w:p>
            <w:pPr>
              <w:spacing w:lineRule="auto"/>
              <w:jc w:val="center"/>
            </w:pPr>
            <w:r>
              <w:rPr/>
              <w:t xml:space="preserve">100.0%</w:t>
            </w:r>
          </w:p>
        </w:tc>
      </w:tr>
      <w:tr>
        <w:trPr>
          <w:cantSplit/>
        </w:trPr>
        <w:tc>
          <w:tcPr>
            <w:tcBorders>
              <w:bottom w:val="single" w:sz="8" w:space="0" w:color="000000"/>
            </w:tcBorders>
            <w:vAlign w:val="center"/>
          </w:tcPr>
          <w:p>
            <w:pPr>
              <w:spacing w:lineRule="auto"/>
              <w:jc w:val="left"/>
            </w:pPr>
            <w:r>
              <w:rPr/>
              <w:t xml:space="preserve">Maximum (2024-2025)</w:t>
            </w:r>
          </w:p>
        </w:tc>
        <w:tc>
          <w:tcPr>
            <w:tcBorders>
              <w:bottom w:val="single" w:sz="8" w:space="0" w:color="000000"/>
            </w:tcBorders>
            <w:vAlign w:val="center"/>
          </w:tcPr>
          <w:p>
            <w:pPr>
              <w:spacing w:lineRule="auto"/>
              <w:jc w:val="center"/>
            </w:pPr>
            <w:r>
              <w:rPr/>
              <w:t xml:space="preserve">160-200 sfu</w:t>
            </w:r>
          </w:p>
        </w:tc>
        <w:tc>
          <w:tcPr>
            <w:tcBorders>
              <w:bottom w:val="single" w:sz="8" w:space="0" w:color="000000"/>
            </w:tcBorders>
            <w:vAlign w:val="center"/>
          </w:tcPr>
          <w:p>
            <w:pPr>
              <w:spacing w:lineRule="auto"/>
              <w:jc w:val="center"/>
            </w:pPr>
            <w:r>
              <w:rPr/>
              <w:t xml:space="preserve">86.7%</w:t>
            </w:r>
          </w:p>
        </w:tc>
        <w:tc>
          <w:tcPr>
            <w:tcBorders>
              <w:bottom w:val="single" w:sz="8" w:space="0" w:color="000000"/>
            </w:tcBorders>
            <w:vAlign w:val="center"/>
          </w:tcPr>
          <w:p>
            <w:pPr>
              <w:spacing w:lineRule="auto"/>
              <w:jc w:val="center"/>
            </w:pPr>
            <w:r>
              <w:rPr/>
              <w:t xml:space="preserve">100.0%</w:t>
            </w:r>
          </w:p>
        </w:tc>
      </w:tr>
    </w:tbl>
    <w:p>
      <w:pPr>
        <w:spacing w:lineRule="auto"/>
      </w:pPr>
    </w:p>
    <w:p>
      <w:pPr>
        <w:spacing w:lineRule="auto"/>
      </w:pPr>
      <w:r>
        <w:rPr/>
        <w:t xml:space="preserve">Table 5: Performance stability across solar activity phases. While binary accuracy decreases slightly during solar maximum (4.5 percentage point drop), Large event recall remains perfect across all solar conditions, demonstrating successful homogenization strategy.</w:t>
      </w:r>
    </w:p>
    <w:p>
      <w:pPr>
        <w:spacing w:after="210" w:lineRule="auto"/>
      </w:pPr>
      <w:r>
        <w:rPr/>
        <w:t xml:space="preserve">The consistent 100% Large event recall across all solar flux levels confirms that the model learned to discriminate true precursors from solar-induced noise, rather than simply detecting elevated geomagnetic activity.</w:t>
      </w:r>
    </w:p>
    <w:p>
      <w:pPr>
        <w:spacing w:line="271" w:before="240" w:lineRule="auto"/>
      </w:pPr>
      <w:bookmarkStart w:id="45" w:name="bm_5_5_computational_efficiency"/>
      <w:r>
        <w:rPr>
          <w:b/>
          <w:sz w:val="33"/>
        </w:rPr>
        <w:t xml:space="preserve">5.5 Computational Efficiency</w:t>
      </w:r>
      <w:bookmarkEnd w:id="45"/>
    </w:p>
    <w:p>
      <w:pPr>
        <w:spacing w:after="210" w:lineRule="auto"/>
      </w:pPr>
      <w:r>
        <w:rPr/>
        <w:t xml:space="preserve">The hierarchical EfficientNet-B0 architecture provides substantial computational advantages for operational deployment:</w:t>
      </w:r>
    </w:p>
    <w:p>
      <w:pPr>
        <w:numPr>
          <w:ilvl w:val="0"/>
          <w:numId w:val="14"/>
        </w:numPr>
        <w:spacing w:lineRule="auto"/>
      </w:pPr>
      <w:r>
        <w:rPr/>
        <w:t xml:space="preserve">Inference time: 85 ms per spectrogram (NVIDIA RTX 3090)</w:t>
      </w:r>
    </w:p>
    <w:p>
      <w:pPr>
        <w:numPr>
          <w:ilvl w:val="0"/>
          <w:numId w:val="14"/>
        </w:numPr>
        <w:spacing w:lineRule="auto"/>
      </w:pPr>
      <w:r>
        <w:rPr/>
        <w:t xml:space="preserve">Throughput: 11.8 spectrograms/second (single GPU)</w:t>
      </w:r>
    </w:p>
    <w:p>
      <w:pPr>
        <w:numPr>
          <w:ilvl w:val="0"/>
          <w:numId w:val="14"/>
        </w:numPr>
        <w:spacing w:lineRule="auto"/>
      </w:pPr>
      <w:r>
        <w:rPr/>
        <w:t xml:space="preserve">Memory footprint: 1.2 GB (model weights + batch processing)</w:t>
      </w:r>
    </w:p>
    <w:p>
      <w:pPr>
        <w:numPr>
          <w:ilvl w:val="0"/>
          <w:numId w:val="14"/>
        </w:numPr>
        <w:spacing w:lineRule="auto"/>
      </w:pPr>
      <w:r>
        <w:rPr/>
        <w:t xml:space="preserve">Latency budget: 2.4 seconds for 22-station network real-time analysis</w:t>
      </w:r>
    </w:p>
    <w:p>
      <w:pPr>
        <w:spacing w:after="210" w:lineRule="auto"/>
      </w:pPr>
      <w:r>
        <w:rPr/>
        <w:t xml:space="preserve">This efficiency enables near-real-time processing of the entire Indonesian observatory network, with sufficient computational headroom for ensemble predictions and uncertainty quantification.</w:t>
      </w:r>
    </w:p>
    <w:p>
      <w:pPr>
        <w:spacing w:line="271" w:before="240" w:lineRule="auto"/>
      </w:pPr>
      <w:bookmarkStart w:id="46" w:name="bm_6_interpretation_and_discussion"/>
      <w:r>
        <w:rPr>
          <w:b/>
          <w:sz w:val="42"/>
        </w:rPr>
        <w:t xml:space="preserve">6. Interpretation and Discussion</w:t>
      </w:r>
      <w:bookmarkEnd w:id="46"/>
    </w:p>
    <w:p>
      <w:pPr>
        <w:spacing w:line="271" w:before="240" w:lineRule="auto"/>
      </w:pPr>
      <w:bookmarkStart w:id="47" w:name="bm_6_1_grad_cam_visualization_of_47903a"/>
      <w:r>
        <w:rPr>
          <w:b/>
          <w:sz w:val="33"/>
        </w:rPr>
        <w:t xml:space="preserve">6.1 Grad-CAM Visualization of Learned Features</w:t>
      </w:r>
      <w:bookmarkEnd w:id="47"/>
    </w:p>
    <w:p>
      <w:pPr>
        <w:spacing w:after="210" w:lineRule="auto"/>
      </w:pPr>
      <w:r>
        <w:rPr/>
        <w:t xml:space="preserve">To understand what spectral-temporal patterns the model uses for decision-making, we applied Gradient-weighted Class Activation Mapping (Grad-CAM)[39] to visualize regions of high importance in input spectrograms. Figure 7 shows representative examples for Large magnitude events:</w:t>
      </w:r>
    </w:p>
    <w:p>
      <w:pPr>
        <w:spacing w:lineRule="auto"/>
      </w:pPr>
      <w:r>
        <w:rPr/>
        <w:t xml:space="preserve"/>
      </w:r>
    </w:p>
    <w:p>
      <w:pPr>
        <w:spacing w:lineRule="auto"/>
      </w:pPr>
      <w:r>
        <w:rPr/>
        <w:t xml:space="preserve">Figure 7: Grad-CAM attention analysis for Large magnitude event detection: (a) Input geomagnetic spectrogram showing Z/H ratio power evolution over 24 hours preceding M6.4 earthquake. (b) Grad-CAM heatmap overlaid on input, revealing the model focuses on the 0.01-0.05 Hz frequency band during the 3-6 hour pre-seismic window (highlighted region shows highest attention weights), consistent with LAIC theoretical predictions.</w:t>
      </w:r>
    </w:p>
    <w:p>
      <w:pPr>
        <w:spacing w:after="210" w:lineRule="auto"/>
      </w:pPr>
      <w:r>
        <w:rPr>
          <w:b/>
        </w:rPr>
        <w:t xml:space="preserve">Key Findings:</w:t>
      </w:r>
    </w:p>
    <w:p>
      <w:pPr>
        <w:numPr>
          <w:ilvl w:val="0"/>
          <w:numId w:val="15"/>
        </w:numPr>
        <w:spacing w:lineRule="auto"/>
      </w:pPr>
      <w:r>
        <w:rPr/>
        <w:t xml:space="preserve">The model consistently focuses on the </w:t>
      </w:r>
      <w:r>
        <w:rPr>
          <w:b/>
        </w:rPr>
        <w:t xml:space="preserve">0.01-0.05 Hz frequency range</w:t>
      </w:r>
      <w:r>
        <w:rPr/>
        <w:t xml:space="preserve">, corresponding to ULF Pc4-Pc5 pulsations identified in previous geophysical studies as earthquake-related[40].</w:t>
      </w:r>
    </w:p>
    <w:p>
      <w:pPr>
        <w:numPr>
          <w:ilvl w:val="0"/>
          <w:numId w:val="15"/>
        </w:numPr>
        <w:spacing w:lineRule="auto"/>
      </w:pPr>
      <w:r>
        <w:rPr/>
        <w:t xml:space="preserve">Temporal attention peaks during the </w:t>
      </w:r>
      <w:r>
        <w:rPr>
          <w:b/>
        </w:rPr>
        <w:t xml:space="preserve">3-6 hour window before the earthquake</w:t>
      </w:r>
      <w:r>
        <w:rPr/>
        <w:t xml:space="preserve">, aligning with empirical observations that precursory signals intensify in the hours immediately preceding mainshock[41].</w:t>
      </w:r>
    </w:p>
    <w:p>
      <w:pPr>
        <w:numPr>
          <w:ilvl w:val="0"/>
          <w:numId w:val="15"/>
        </w:numPr>
        <w:spacing w:lineRule="auto"/>
      </w:pPr>
      <w:r>
        <w:rPr/>
        <w:t xml:space="preserve">For Large events, the model exhibits </w:t>
      </w:r>
      <w:r>
        <w:rPr>
          <w:b/>
        </w:rPr>
        <w:t xml:space="preserve">strong attention to vertical component (Z) enhancements</w:t>
      </w:r>
      <w:r>
        <w:rPr/>
        <w:t xml:space="preserve"> relative to horizontal (H), consistent with the physical expectation that lithospheric sources produce preferentially vertical magnetic field perturbations[42].</w:t>
      </w:r>
    </w:p>
    <w:p>
      <w:pPr>
        <w:numPr>
          <w:ilvl w:val="0"/>
          <w:numId w:val="15"/>
        </w:numPr>
        <w:spacing w:lineRule="auto"/>
      </w:pPr>
      <w:r>
        <w:rPr/>
        <w:t xml:space="preserve">Conversely, for Normal class samples during high solar flux, attention distributes uniformly across all frequencies and time windows, indicating the model learned that </w:t>
      </w:r>
      <w:r>
        <w:rPr>
          <w:b/>
        </w:rPr>
        <w:t xml:space="preserve">spectrally-flat broadband activity characterizes ionospheric noise</w:t>
      </w:r>
      <w:r>
        <w:rPr/>
        <w:t xml:space="preserve"> rather than localized precursors.</w:t>
      </w:r>
    </w:p>
    <w:p>
      <w:pPr>
        <w:spacing w:after="210" w:lineRule="auto"/>
      </w:pPr>
      <w:r>
        <w:rPr/>
        <w:t xml:space="preserve">These attention patterns demonstrate the model discovered physically meaningful features rather than relying on spurious correlations or dataset artifacts.</w:t>
      </w:r>
    </w:p>
    <w:p>
      <w:pPr>
        <w:spacing w:line="271" w:before="240" w:lineRule="auto"/>
      </w:pPr>
      <w:bookmarkStart w:id="48" w:name="bm_6_2_physical_interpretation_of_95f98f"/>
      <w:r>
        <w:rPr>
          <w:b/>
          <w:sz w:val="33"/>
        </w:rPr>
        <w:t xml:space="preserve">6.2 Physical Interpretation of Magnitude Sensitivity Hierarchy</w:t>
      </w:r>
      <w:bookmarkEnd w:id="48"/>
    </w:p>
    <w:p>
      <w:pPr>
        <w:spacing w:after="210" w:lineRule="auto"/>
      </w:pPr>
      <w:r>
        <w:rPr/>
        <w:t xml:space="preserve">The stark contrast in model performance across magnitude classes (100% Large recall vs. 12% Moderate recall) warrants physical interpretation. We propose three contributing factors:</w:t>
      </w:r>
    </w:p>
    <w:p>
      <w:pPr>
        <w:spacing w:after="210" w:lineRule="auto"/>
      </w:pPr>
      <w:r>
        <w:rPr>
          <w:b/>
        </w:rPr>
        <w:t xml:space="preserve">Factor 1: Signal-to-Noise Scaling</w:t>
      </w:r>
    </w:p>
    <w:p>
      <w:pPr>
        <w:spacing w:after="210" w:lineRule="auto"/>
      </w:pPr>
      <w:r>
        <w:rPr/>
        <w:t xml:space="preserve">Theoretical models predict electromagnetic emission intensity scales with earthquake energy release: </w:t>
      </w:r>
      <m:oMath>
        <m:r>
          <m:rPr>
            <m:sty m:val="i"/>
          </m:rPr>
          <m:t>E</m:t>
        </m:r>
        <m:r>
          <m:rPr>
            <m:sty m:val="p"/>
          </m:rPr>
          <m:t>∝</m:t>
        </m:r>
        <m:sSup>
          <m:sSupPr/>
          <m:e>
            <m:r>
              <m:rPr>
                <m:sty m:val="p"/>
              </m:rPr>
              <m:t>10</m:t>
            </m:r>
          </m:e>
          <m:sup>
            <m:r>
              <m:rPr>
                <m:sty m:val="p"/>
              </m:rPr>
              <m:t>1.5</m:t>
            </m:r>
            <m:r>
              <m:rPr>
                <m:sty m:val="i"/>
              </m:rPr>
              <m:t>M</m:t>
            </m:r>
          </m:sup>
        </m:sSup>
      </m:oMath>
      <w:r>
        <w:rPr/>
        <w:t xml:space="preserve">[43]. Consequently, M6.0 events (energy: </w:t>
      </w:r>
      <m:oMath>
        <m:sSup>
          <m:sSupPr/>
          <m:e>
            <m:r>
              <m:rPr>
                <m:sty m:val="p"/>
              </m:rPr>
              <m:t>10</m:t>
            </m:r>
          </m:e>
          <m:sup>
            <m:r>
              <m:rPr>
                <m:sty m:val="p"/>
              </m:rPr>
              <m:t>18</m:t>
            </m:r>
          </m:sup>
        </m:sSup>
      </m:oMath>
      <w:r>
        <w:rPr>
          <w:rFonts w:eastAsia="Georgia" w:cs="Georgia" w:ascii="Georgia" w:hAnsi="Georgia"/>
        </w:rPr>
        <w:t xml:space="preserve"> J) produce ~32× stronger ULF emissions than M4.5 events (energy: </w:t>
      </w:r>
      <m:oMath>
        <m:sSup>
          <m:sSupPr/>
          <m:e>
            <m:r>
              <m:rPr>
                <m:sty m:val="p"/>
              </m:rPr>
              <m:t>10</m:t>
            </m:r>
          </m:e>
          <m:sup>
            <m:r>
              <m:rPr>
                <m:sty m:val="p"/>
              </m:rPr>
              <m:t>16.75</m:t>
            </m:r>
          </m:sup>
        </m:sSup>
      </m:oMath>
      <w:r>
        <w:rPr/>
        <w:t xml:space="preserve"> J). Our results suggest this scaling crosses a </w:t>
      </w:r>
      <w:r>
        <w:rPr>
          <w:b/>
        </w:rPr>
        <w:t xml:space="preserve">detectability threshold</w:t>
      </w:r>
      <w:r>
        <w:rPr>
          <w:rFonts w:eastAsia="Georgia" w:cs="Georgia" w:ascii="Georgia" w:hAnsi="Georgia"/>
        </w:rPr>
        <w:t xml:space="preserve"> around M5.5-6.0, above which precursors emerge clearly above ambient noise in 224×224 pixel 8-bit spectrograms.</w:t>
      </w:r>
    </w:p>
    <w:p>
      <w:pPr>
        <w:spacing w:after="210" w:lineRule="auto"/>
      </w:pPr>
      <w:r>
        <w:rPr>
          <w:b/>
        </w:rPr>
        <w:t xml:space="preserve">Factor 2: Preparation Zone Geometry</w:t>
      </w:r>
    </w:p>
    <w:p>
      <w:pPr>
        <w:spacing w:after="210" w:lineRule="auto"/>
      </w:pPr>
      <w:r>
        <w:rPr/>
        <w:t xml:space="preserve">The Dobrovolsky preparation zone radius increases with magnitude: </w:t>
      </w:r>
      <m:oMath>
        <m:sSub>
          <m:sSubPr/>
          <m:e>
            <m:r>
              <m:rPr>
                <m:sty m:val="i"/>
              </m:rPr>
              <m:t>R</m:t>
            </m:r>
          </m:e>
          <m:sub>
            <m:r>
              <m:rPr>
                <m:sty m:val="p"/>
              </m:rPr>
              <m:t>4.5</m:t>
            </m:r>
          </m:sub>
        </m:sSub>
        <m:r>
          <m:rPr>
            <m:sty m:val="p"/>
          </m:rPr>
          <m:t>=</m:t>
        </m:r>
        <m:r>
          <m:rPr>
            <m:sty m:val="p"/>
          </m:rPr>
          <m:t>32</m:t>
        </m:r>
      </m:oMath>
      <w:r>
        <w:rPr/>
        <w:t xml:space="preserve"> km vs. </w:t>
      </w:r>
      <m:oMath>
        <m:sSub>
          <m:sSubPr/>
          <m:e>
            <m:r>
              <m:rPr>
                <m:sty m:val="i"/>
              </m:rPr>
              <m:t>R</m:t>
            </m:r>
          </m:e>
          <m:sub>
            <m:r>
              <m:rPr>
                <m:sty m:val="p"/>
              </m:rPr>
              <m:t>6.0</m:t>
            </m:r>
          </m:sub>
        </m:sSub>
        <m:r>
          <m:rPr>
            <m:sty m:val="p"/>
          </m:rPr>
          <m:t>=</m:t>
        </m:r>
        <m:r>
          <m:rPr>
            <m:sty m:val="p"/>
          </m:rPr>
          <m:t>141</m:t>
        </m:r>
      </m:oMath>
      <w:r>
        <w:rPr/>
        <w:t xml:space="preserve"> km. Larger spatial extent increases the probability that at least one observatory falls within the affected region, enhancing detection reliability through spatial diversity[44].</w:t>
      </w:r>
    </w:p>
    <w:p>
      <w:pPr>
        <w:spacing w:after="210" w:lineRule="auto"/>
      </w:pPr>
      <w:r>
        <w:rPr>
          <w:b/>
        </w:rPr>
        <w:t xml:space="preserve">Factor 3: Pre-seismic Duration</w:t>
      </w:r>
    </w:p>
    <w:p>
      <w:pPr>
        <w:spacing w:after="210" w:lineRule="auto"/>
      </w:pPr>
      <w:r>
        <w:rPr/>
        <w:t xml:space="preserve">Studies report longer precursory time windows for larger earthquakes (M4.5: 7-14 days, M6.0+: 14-30 days)[45]. The 24-hour observation window used in this study may capture only the final intensification phase for Large events, while missing the weaker early-stage signals for Moderate events that occur days to weeks before.</w:t>
      </w:r>
    </w:p>
    <w:p>
      <w:pPr>
        <w:spacing w:after="210" w:lineRule="auto"/>
      </w:pPr>
      <w:r>
        <w:rPr/>
        <w:t xml:space="preserve">These factors collectively explain why hierarchical architectures prioritizing Large events achieve superior operational utility compared to balanced multi-class approaches.</w:t>
      </w:r>
    </w:p>
    <w:p>
      <w:pPr>
        <w:spacing w:line="271" w:before="240" w:lineRule="auto"/>
      </w:pPr>
      <w:bookmarkStart w:id="49" w:name="bm_6_3_implications_for_operation_cbeb1c"/>
      <w:r>
        <w:rPr>
          <w:b/>
          <w:sz w:val="33"/>
        </w:rPr>
        <w:t xml:space="preserve">6.3 Implications for Operational Early Warning Systems</w:t>
      </w:r>
      <w:bookmarkEnd w:id="49"/>
    </w:p>
    <w:p>
      <w:pPr>
        <w:spacing w:after="210" w:lineRule="auto"/>
      </w:pPr>
      <w:r>
        <w:rPr/>
        <w:t xml:space="preserve">The 100% Large event recall with zero false positives has profound implications for earthquake early warning system design:</w:t>
      </w:r>
    </w:p>
    <w:p>
      <w:pPr>
        <w:spacing w:after="210" w:lineRule="auto"/>
      </w:pPr>
      <w:r>
        <w:rPr>
          <w:b/>
        </w:rPr>
        <w:t xml:space="preserve">Disaster Lock Mechanism:</w:t>
      </w:r>
      <w:r>
        <w:rPr/>
        <w:t xml:space="preserve"> The model can function as a high-confidence trigger for emergency response protocols. When the system flags a Large magnitude precursor, operational decision-makers can initiate pre-positioning of rescue resources, public advisories, and infrastructure protection measures with high confidence the signal represents genuine seismic hazard rather than instrumental or ionospheric artifacts.</w:t>
      </w:r>
    </w:p>
    <w:p>
      <w:pPr>
        <w:spacing w:after="210" w:lineRule="auto"/>
      </w:pPr>
      <w:r>
        <w:rPr>
          <w:b/>
        </w:rPr>
        <w:t xml:space="preserve">Complementarity with Seismometer Networks:</w:t>
      </w:r>
      <w:r>
        <w:rPr/>
        <w:t xml:space="preserve"> Traditional seismic early warning provides seconds-to-minutes warning after earthquake initiation. ULF precursor detection offers hours-to-days lead time for Large events, enabling complementary multi-timescale warning cascade: (1) ULF system provides 3-24 hour strategic warning for resource mobilization, (2) Seismometer network provides 5-60 second tactical warning for immediate protective actions[46].</w:t>
      </w:r>
    </w:p>
    <w:p>
      <w:pPr>
        <w:spacing w:after="210" w:lineRule="auto"/>
      </w:pPr>
      <w:r>
        <w:rPr>
          <w:b/>
        </w:rPr>
        <w:t xml:space="preserve">Risk-Stratified Alert Thresholds:</w:t>
      </w:r>
      <w:r>
        <w:rPr/>
        <w:t xml:space="preserve"> The hierarchical architecture enables implementation of magnitude-dependent alert thresholds. For Large events, the system can operate with high sensitivity and aggressive alerting. For Moderate events, higher confidence thresholds prevent alert fatigue while still providing useful situational awareness for scientific monitoring.</w:t>
      </w:r>
    </w:p>
    <w:p>
      <w:pPr>
        <w:spacing w:line="271" w:before="240" w:lineRule="auto"/>
      </w:pPr>
      <w:bookmarkStart w:id="50" w:name="bm_6_4_limitations_and_future_work"/>
      <w:r>
        <w:rPr>
          <w:b/>
          <w:sz w:val="33"/>
        </w:rPr>
        <w:t xml:space="preserve">6.4 Limitations and Future Work</w:t>
      </w:r>
      <w:bookmarkEnd w:id="50"/>
    </w:p>
    <w:p>
      <w:pPr>
        <w:spacing w:after="210" w:lineRule="auto"/>
      </w:pPr>
      <w:r>
        <w:rPr/>
        <w:t xml:space="preserve">Despite strong performance, several limitations warrant acknowledgment:</w:t>
      </w:r>
    </w:p>
    <w:p>
      <w:pPr>
        <w:spacing w:after="210" w:lineRule="auto"/>
      </w:pPr>
      <w:r>
        <w:rPr>
          <w:b/>
        </w:rPr>
        <w:t xml:space="preserve">Temporal Resolution:</w:t>
      </w:r>
      <w:r>
        <w:rPr/>
        <w:t xml:space="preserve"> The 24-hour observation window provides only coarse temporal localization (precursor detected, earthquake expected within hours-to-days). Future work should explore multi-scale temporal analysis combining short-term (hourly) and medium-term (daily) spectral evolution to refine time-to-event predictions.</w:t>
      </w:r>
    </w:p>
    <w:p>
      <w:pPr>
        <w:spacing w:after="210" w:lineRule="auto"/>
      </w:pPr>
      <w:r>
        <w:rPr>
          <w:b/>
        </w:rPr>
        <w:t xml:space="preserve">Single-Component Input:</w:t>
      </w:r>
      <w:r>
        <w:rPr/>
        <w:t xml:space="preserve"> This study used Z/H ratio spectrograms but did not exploit full three-component polarization information. Incorporating declination (D) component and coherence analysis between components may enhance sensitivity for Medium magnitude events[47].</w:t>
      </w:r>
    </w:p>
    <w:p>
      <w:pPr>
        <w:spacing w:after="210" w:lineRule="auto"/>
      </w:pPr>
      <w:r>
        <w:rPr>
          <w:b/>
        </w:rPr>
        <w:t xml:space="preserve">Limited Geographic Diversity:</w:t>
      </w:r>
      <w:r>
        <w:rPr/>
        <w:t xml:space="preserve"> Training data derived from Indonesian archipelago stations may not generalize to different tectonic settings (mid-ocean ridges, continental collision zones). Transfer learning studies using data from global observatory networks (INTERMAGNET) should validate cross-domain performance.</w:t>
      </w:r>
    </w:p>
    <w:p>
      <w:pPr>
        <w:spacing w:after="210" w:lineRule="auto"/>
      </w:pPr>
      <w:r>
        <w:rPr>
          <w:b/>
        </w:rPr>
        <w:t xml:space="preserve">Lack of Physical Constraints:</w:t>
      </w:r>
      <w:r>
        <w:rPr/>
        <w:t xml:space="preserve"> The purely data-driven CNN approach does not incorporate known physical constraints (e.g., wave propagation velocity, attenuation with distance). Physics-informed neural networks (PINNs) that embed Maxwell's equations and lithospheric coupling mechanisms may improve interpretability and generalization[48].</w:t>
      </w:r>
    </w:p>
    <w:p>
      <w:pPr>
        <w:spacing w:after="210" w:lineRule="auto"/>
      </w:pPr>
      <w:r>
        <w:rPr>
          <w:b/>
        </w:rPr>
        <w:t xml:space="preserve">Causality Verification:</w:t>
      </w:r>
      <w:r>
        <w:rPr/>
        <w:t xml:space="preserve"> While temporal precedence of ULF anomalies before earthquakes is established, definitive causal mechanism remains debated. Controlled injection experiments (e.g., hydraulic fracturing monitoring) could provide ground truth for precursor-earthquake causality[49].</w:t>
      </w:r>
    </w:p>
    <w:p>
      <w:pPr>
        <w:spacing w:line="271" w:before="240" w:lineRule="auto"/>
      </w:pPr>
      <w:bookmarkStart w:id="51" w:name="bm_7_conclusions"/>
      <w:r>
        <w:rPr>
          <w:b/>
          <w:sz w:val="42"/>
        </w:rPr>
        <w:t xml:space="preserve">7. Conclusions</w:t>
      </w:r>
      <w:bookmarkEnd w:id="51"/>
    </w:p>
    <w:p>
      <w:pPr>
        <w:spacing w:after="210" w:lineRule="auto"/>
      </w:pPr>
      <w:r>
        <w:rPr/>
        <w:t xml:space="preserve">This study introduced a hierarchical EfficientNet-B0 architecture for earthquake precursor detection in ULF geomagnetic signals, addressing two critical challenges: (1) solar cycle bias through dataset homogenization, and (2) magnitude-dependent detection reliability through prioritized optimization. Key contributions include:</w:t>
      </w:r>
    </w:p>
    <w:p>
      <w:pPr>
        <w:numPr>
          <w:ilvl w:val="0"/>
          <w:numId w:val="16"/>
        </w:numPr>
        <w:spacing w:lineRule="auto"/>
      </w:pPr>
      <w:r>
        <w:rPr>
          <w:b/>
        </w:rPr>
        <w:t xml:space="preserve">Unprecedented Large Event Performance:</w:t>
      </w:r>
      <w:r>
        <w:rPr>
          <w:rFonts w:eastAsia="Georgia" w:cs="Georgia" w:ascii="Georgia" w:hAnsi="Georgia"/>
        </w:rPr>
        <w:t xml:space="preserve"> 100% recall and 100% precision for M≥6.0 earthquakes on held-out test data, establishing a new benchmark for catastrophic event detection reliability.</w:t>
      </w:r>
    </w:p>
    <w:p>
      <w:pPr>
        <w:numPr>
          <w:ilvl w:val="0"/>
          <w:numId w:val="16"/>
        </w:numPr>
        <w:spacing w:lineRule="auto"/>
      </w:pPr>
      <w:r>
        <w:rPr>
          <w:b/>
        </w:rPr>
        <w:t xml:space="preserve">Solar Bias Mitigation:</w:t>
      </w:r>
      <w:r>
        <w:rPr/>
        <w:t xml:space="preserve"> By incorporating 1,000 high-flux Normal samples from 2024-2025 solar maximum, the model maintains 86% specificity during peak solar activity, demonstrating successful discrimination of solar noise from genuine earthquake precursors.</w:t>
      </w:r>
    </w:p>
    <w:p>
      <w:pPr>
        <w:numPr>
          <w:ilvl w:val="0"/>
          <w:numId w:val="16"/>
        </w:numPr>
        <w:spacing w:lineRule="auto"/>
      </w:pPr>
      <w:r>
        <w:rPr>
          <w:b/>
        </w:rPr>
        <w:t xml:space="preserve">Hierarchical Architecture Design:</w:t>
      </w:r>
      <w:r>
        <w:rPr>
          <w:rFonts w:eastAsia="Georgia" w:cs="Georgia" w:ascii="Georgia" w:hAnsi="Georgia"/>
        </w:rPr>
        <w:t xml:space="preserve"> Two-stage decision process (Binary detection → Magnitude estimation) enables magnitude-specific optimization, achieving perfect Large event recall while maintaining overall system stability.</w:t>
      </w:r>
    </w:p>
    <w:p>
      <w:pPr>
        <w:numPr>
          <w:ilvl w:val="0"/>
          <w:numId w:val="16"/>
        </w:numPr>
        <w:spacing w:lineRule="auto"/>
      </w:pPr>
      <w:r>
        <w:rPr>
          <w:b/>
        </w:rPr>
        <w:t xml:space="preserve">Physical Interpretability:</w:t>
      </w:r>
      <w:r>
        <w:rPr/>
        <w:t xml:space="preserve"> Grad-CAM analysis reveals the model focuses on theoretically predicted frequency bands (0.01-0.05 Hz) and temporal windows (3-6 hours pre-seismic), validating that learned features align with LAIC mechanism physics.</w:t>
      </w:r>
    </w:p>
    <w:p>
      <w:pPr>
        <w:numPr>
          <w:ilvl w:val="0"/>
          <w:numId w:val="16"/>
        </w:numPr>
        <w:spacing w:lineRule="auto"/>
      </w:pPr>
      <w:r>
        <w:rPr>
          <w:b/>
        </w:rPr>
        <w:t xml:space="preserve">Operational Efficiency:</w:t>
      </w:r>
      <w:r>
        <w:rPr/>
        <w:t xml:space="preserve"> 85 ms inference time and 6.8M parameters enable real-time deployment across multi-station networks with standard computing infrastructure.</w:t>
      </w:r>
    </w:p>
    <w:p>
      <w:pPr>
        <w:spacing w:after="210" w:lineRule="auto"/>
      </w:pPr>
      <w:r>
        <w:rPr>
          <w:rFonts w:eastAsia="Georgia" w:cs="Georgia" w:ascii="Georgia" w:hAnsi="Georgia"/>
        </w:rPr>
        <w:t xml:space="preserve">The moderate overall accuracy (62.1%) reflects the conscious design choice to prioritize catastrophic event detection over balanced multi-class performance—a trade-off justified by the asymmetric consequences of missed Large earthquakes versus false alarms on Moderate events.</w:t>
      </w:r>
    </w:p>
    <w:p>
      <w:pPr>
        <w:spacing w:after="210" w:lineRule="auto"/>
      </w:pPr>
      <w:r>
        <w:rPr>
          <w:b/>
        </w:rPr>
        <w:t xml:space="preserve">Future research directions</w:t>
      </w:r>
      <w:r>
        <w:rPr/>
        <w:t xml:space="preserve"> include: (1) multi-scale temporal analysis for improved time-to-event prediction, (2) incorporation of three-component polarization features, (3) transfer learning to validate global generalization, (4) integration of physics-informed constraints, and (5) ensemble methods combining electromagnetic precursors with seismological, geodetic, and geochemical indicators for comprehensive multi-parameter early warning systems.</w:t>
      </w:r>
    </w:p>
    <w:p>
      <w:pPr>
        <w:spacing w:after="210" w:lineRule="auto"/>
      </w:pPr>
      <w:r>
        <w:rPr/>
        <w:t xml:space="preserve">The demonstrated reliability of hierarchical deep learning for Large magnitude earthquake precursor detection represents a significant advance toward operational implementation of ULF-based early warning systems, particularly for disaster mitigation in seismically active regions.</w:t>
      </w:r>
    </w:p>
    <w:p>
      <w:pPr>
        <w:spacing w:line="271" w:before="240" w:lineRule="auto"/>
      </w:pPr>
      <w:bookmarkStart w:id="52" w:name="acknowledgments"/>
      <w:r>
        <w:rPr>
          <w:b/>
          <w:sz w:val="42"/>
        </w:rPr>
        <w:t xml:space="preserve">Acknowledgments</w:t>
      </w:r>
      <w:bookmarkEnd w:id="52"/>
    </w:p>
    <w:p>
      <w:pPr>
        <w:spacing w:after="210" w:lineRule="auto"/>
      </w:pPr>
      <w:r>
        <w:rPr/>
        <w:t xml:space="preserve">This research was conducted using data from the Indonesian Meteorology, Climatology, and Geophysics Agency (BMKG) geomagnetic observatory network. We thank the technical staff at BMKG stations for maintaining high-quality continuous measurements. Earthquake catalog data were obtained from BMKG seismic monitoring division and USGS databases. Computational resources were provided by the Geophysics Research Division. We acknowledge the TensorFlow and PyTorch development communities for open-source deep learning frameworks.</w:t>
      </w:r>
    </w:p>
    <w:p>
      <w:pPr>
        <w:spacing w:line="271" w:before="240" w:lineRule="auto"/>
      </w:pPr>
      <w:bookmarkStart w:id="53" w:name="data_availability"/>
      <w:r>
        <w:rPr>
          <w:b/>
          <w:sz w:val="42"/>
        </w:rPr>
        <w:t xml:space="preserve">Data Availability</w:t>
      </w:r>
      <w:bookmarkEnd w:id="53"/>
    </w:p>
    <w:p>
      <w:pPr>
        <w:spacing w:after="210" w:lineRule="auto"/>
      </w:pPr>
      <w:r>
        <w:rPr/>
        <w:t xml:space="preserve">Geomagnetic observatory data are available from BMKG upon reasonable request in accordance with data sharing policies. Earthquake catalog data are publicly available through BMKG (</w:t>
      </w:r>
      <w:hyperlink r:id="rId6">
        <w:r>
          <w:rPr>
            <w:color w:val="4472C4"/>
          </w:rPr>
          <w:t xml:space="preserve">https://www.bmkg.go.id</w:t>
        </w:r>
      </w:hyperlink>
      <w:r>
        <w:rPr/>
        <w:t xml:space="preserve">) and USGS (</w:t>
      </w:r>
      <w:hyperlink r:id="rId7">
        <w:r>
          <w:rPr>
            <w:color w:val="4472C4"/>
          </w:rPr>
          <w:t xml:space="preserve">https://earthquake.usgs.gov</w:t>
        </w:r>
      </w:hyperlink>
      <w:r>
        <w:rPr/>
        <w:t xml:space="preserve">). Trained model weights and inference code will be made available upon publication through a public repository.</w:t>
      </w:r>
    </w:p>
    <w:p>
      <w:pPr>
        <w:spacing w:line="271" w:before="240" w:lineRule="auto"/>
      </w:pPr>
      <w:bookmarkStart w:id="54" w:name="references"/>
      <w:r>
        <w:rPr>
          <w:b/>
          <w:sz w:val="42"/>
        </w:rPr>
        <w:t xml:space="preserve">References</w:t>
      </w:r>
      <w:bookmarkEnd w:id="54"/>
    </w:p>
    <w:p>
      <w:pPr>
        <w:spacing w:after="210" w:lineRule="auto"/>
      </w:pPr>
      <w:r>
        <w:rPr/>
        <w:t xml:space="preserve">[1] Sieh, K., &amp; Natawidjaja, D. (2000). Neotectonics of the Sumatran fault, Indonesia. </w:t>
      </w:r>
      <w:r>
        <w:rPr>
          <w:i/>
        </w:rPr>
        <w:t xml:space="preserve">Journal of Geophysical Research</w:t>
      </w:r>
      <w:r>
        <w:rPr/>
        <w:t xml:space="preserve">, 105(B12), 28295-28326.</w:t>
      </w:r>
    </w:p>
    <w:p>
      <w:pPr>
        <w:spacing w:after="210" w:lineRule="auto"/>
      </w:pPr>
      <w:r>
        <w:rPr/>
        <w:t xml:space="preserve">[2] Geller, R. J., Jackson, D. D., Kagan, Y. Y., &amp; Mulargia, F. (1997). Earthquakes cannot be predicted. </w:t>
      </w:r>
      <w:r>
        <w:rPr>
          <w:i/>
        </w:rPr>
        <w:t xml:space="preserve">Science</w:t>
      </w:r>
      <w:r>
        <w:rPr/>
        <w:t xml:space="preserve">, 275(5306), 1616-1617.</w:t>
      </w:r>
    </w:p>
    <w:p>
      <w:pPr>
        <w:spacing w:after="210" w:lineRule="auto"/>
      </w:pPr>
      <w:r>
        <w:rPr/>
        <w:t xml:space="preserve">[3] Allen, R. M., &amp; Melgar, D. (2019). Earthquake early warning: Advances, scientific challenges, and societal needs. </w:t>
      </w:r>
      <w:r>
        <w:rPr>
          <w:i/>
        </w:rPr>
        <w:t xml:space="preserve">Annual Review of Earth and Planetary Sciences</w:t>
      </w:r>
      <w:r>
        <w:rPr/>
        <w:t xml:space="preserve">, 47, 361-388.</w:t>
      </w:r>
    </w:p>
    <w:p>
      <w:pPr>
        <w:spacing w:after="210" w:lineRule="auto"/>
      </w:pPr>
      <w:r>
        <w:rPr>
          <w:rFonts w:eastAsia="Georgia" w:cs="Georgia" w:ascii="Georgia" w:hAnsi="Georgia"/>
        </w:rPr>
        <w:t xml:space="preserve">[4] Pulinets, S., &amp; Ouzounov, D. (2011). Lithosphere–Atmosphere–Ionosphere Coupling (LAIC) model—An unified concept for earthquake precursors validation. </w:t>
      </w:r>
      <w:r>
        <w:rPr>
          <w:i/>
        </w:rPr>
        <w:t xml:space="preserve">Journal of Asian Earth Sciences</w:t>
      </w:r>
      <w:r>
        <w:rPr/>
        <w:t xml:space="preserve">, 41(4-5), 371-382.</w:t>
      </w:r>
    </w:p>
    <w:p>
      <w:pPr>
        <w:spacing w:after="210" w:lineRule="auto"/>
      </w:pPr>
      <w:r>
        <w:rPr/>
        <w:t xml:space="preserve">[5] Freund, F. (2011). Pre-earthquake signals: Underlying physical processes. </w:t>
      </w:r>
      <w:r>
        <w:rPr>
          <w:i/>
        </w:rPr>
        <w:t xml:space="preserve">Journal of Asian Earth Sciences</w:t>
      </w:r>
      <w:r>
        <w:rPr/>
        <w:t xml:space="preserve">, 41(4-5), 383-400.</w:t>
      </w:r>
    </w:p>
    <w:p>
      <w:pPr>
        <w:spacing w:after="210" w:lineRule="auto"/>
      </w:pPr>
      <w:r>
        <w:rPr/>
        <w:t xml:space="preserve">[6] Hayakawa, M., Kawate, R., Molchanov, O. A., &amp; Yumoto, K. (1996). Results of ultra-low-frequency magnetic field measurements during the Guam earthquake of 8 August 1993. </w:t>
      </w:r>
      <w:r>
        <w:rPr>
          <w:i/>
        </w:rPr>
        <w:t xml:space="preserve">Geophysical Research Letters</w:t>
      </w:r>
      <w:r>
        <w:rPr/>
        <w:t xml:space="preserve">, 23(3), 241-244.</w:t>
      </w:r>
    </w:p>
    <w:p>
      <w:pPr>
        <w:spacing w:after="210" w:lineRule="auto"/>
      </w:pPr>
      <w:r>
        <w:rPr/>
        <w:t xml:space="preserve">[7] Fraser-Smith, A. C., Bernardi, A., McGill, P. R., Ladd, M. E., Helliwell, R. A., &amp; Villard Jr, O. G. (1990). Low-frequency magnetic field measurements near the epicenter of the Ms 7.1 Loma Prieta earthquake. </w:t>
      </w:r>
      <w:r>
        <w:rPr>
          <w:i/>
        </w:rPr>
        <w:t xml:space="preserve">Geophysical Research Letters</w:t>
      </w:r>
      <w:r>
        <w:rPr/>
        <w:t xml:space="preserve">, 17(9), 1465-1468.</w:t>
      </w:r>
    </w:p>
    <w:p>
      <w:pPr>
        <w:spacing w:after="210" w:lineRule="auto"/>
      </w:pPr>
      <w:r>
        <w:rPr>
          <w:rFonts w:eastAsia="Georgia" w:cs="Georgia" w:ascii="Georgia" w:hAnsi="Georgia"/>
        </w:rPr>
        <w:t xml:space="preserve">[8] Hattori, K., Han, P., Yoshino, C., Febriani, F., Yamaguchi, H., &amp; Chen, C. H. (2013). Investigation of ULF seismo-magnetic phenomena in Kanto, Japan during 2000–2010: Case studies and statistical studies. </w:t>
      </w:r>
      <w:r>
        <w:rPr>
          <w:i/>
        </w:rPr>
        <w:t xml:space="preserve">Surveys in Geophysics</w:t>
      </w:r>
      <w:r>
        <w:rPr/>
        <w:t xml:space="preserve">, 34, 293-316.</w:t>
      </w:r>
    </w:p>
    <w:p>
      <w:pPr>
        <w:spacing w:after="210" w:lineRule="auto"/>
      </w:pPr>
      <w:r>
        <w:rPr/>
        <w:t xml:space="preserve">[9] Anggraini, D., et al. (2024). Identification of electromagnetic ultra-low frequency signal anomaly as earthquake precursor in Sulawesi region. </w:t>
      </w:r>
      <w:r>
        <w:rPr>
          <w:i/>
        </w:rPr>
        <w:t xml:space="preserve">NEUTRINO: Jurnal Fisika dan Aplikasinya</w:t>
      </w:r>
      <w:r>
        <w:rPr/>
        <w:t xml:space="preserve">, 16(2), 89-102.</w:t>
      </w:r>
    </w:p>
    <w:p>
      <w:pPr>
        <w:spacing w:after="210" w:lineRule="auto"/>
      </w:pPr>
      <w:r>
        <w:rPr/>
        <w:t xml:space="preserve">[10] Febri, P., et al. (2019). ULF geomagnetic anomalies associated with earthquakes in Indonesia. </w:t>
      </w:r>
      <w:r>
        <w:rPr>
          <w:i/>
        </w:rPr>
        <w:t xml:space="preserve">Journal of Physics: Conference Series</w:t>
      </w:r>
      <w:r>
        <w:rPr/>
        <w:t xml:space="preserve">, 1127(1), 012066.</w:t>
      </w:r>
    </w:p>
    <w:p>
      <w:pPr>
        <w:spacing w:after="210" w:lineRule="auto"/>
      </w:pPr>
      <w:r>
        <w:rPr/>
        <w:t xml:space="preserve">[11] Masci, F., &amp; Thomas, J. N. (2015). Are there new findings in the search for ULF magnetic precursors to earthquakes? </w:t>
      </w:r>
      <w:r>
        <w:rPr>
          <w:i/>
        </w:rPr>
        <w:t xml:space="preserve">Journal of Geophysical Research: Space Physics</w:t>
      </w:r>
      <w:r>
        <w:rPr/>
        <w:t xml:space="preserve">, 120(12), 10289-10304.</w:t>
      </w:r>
    </w:p>
    <w:p>
      <w:pPr>
        <w:spacing w:after="210" w:lineRule="auto"/>
      </w:pPr>
      <w:r>
        <w:rPr/>
        <w:t xml:space="preserve">[12] Zafar, S. N. A. S., et al. (2024). Modelling of ULF Pc4-Pc5 pulsations with solar winds prior to earthquakes. </w:t>
      </w:r>
      <w:r>
        <w:rPr>
          <w:i/>
        </w:rPr>
        <w:t xml:space="preserve">Advances in Space Research</w:t>
      </w:r>
      <w:r>
        <w:rPr/>
        <w:t xml:space="preserve">, 73(2), 1208-1223.</w:t>
      </w:r>
    </w:p>
    <w:p>
      <w:pPr>
        <w:spacing w:after="210" w:lineRule="auto"/>
      </w:pPr>
      <w:r>
        <w:rPr/>
        <w:t xml:space="preserve">[13] Bergen, K. J., Johnson, P. A., Maechling, P. J., &amp; Beroza, G. C. (2019). Machine learning for data-driven discovery in solid Earth geoscience. </w:t>
      </w:r>
      <w:r>
        <w:rPr>
          <w:i/>
        </w:rPr>
        <w:t xml:space="preserve">Science</w:t>
      </w:r>
      <w:r>
        <w:rPr/>
        <w:t xml:space="preserve">, 363(6433), eaau0323.</w:t>
      </w:r>
    </w:p>
    <w:p>
      <w:pPr>
        <w:spacing w:after="210" w:lineRule="auto"/>
      </w:pPr>
      <w:r>
        <w:rPr/>
        <w:t xml:space="preserve">[14] Mousavi, S. M., &amp; Beroza, G. C. (2023). Deep-learning seismology. </w:t>
      </w:r>
      <w:r>
        <w:rPr>
          <w:i/>
        </w:rPr>
        <w:t xml:space="preserve">Science</w:t>
      </w:r>
      <w:r>
        <w:rPr/>
        <w:t xml:space="preserve">, 377(6607), eabm4470.</w:t>
      </w:r>
    </w:p>
    <w:p>
      <w:pPr>
        <w:spacing w:after="210" w:lineRule="auto"/>
      </w:pPr>
      <w:r>
        <w:rPr/>
        <w:t xml:space="preserve">[15] Ramakrishna, N. (2024). PhaseNet and EfficientNet-B0 for phase detection and arrival time picking on INSTANCE dataset. </w:t>
      </w:r>
      <w:r>
        <w:rPr>
          <w:i/>
        </w:rPr>
        <w:t xml:space="preserve">MSc Thesis, National College of Ireland</w:t>
      </w:r>
      <w:r>
        <w:rPr/>
        <w:t xml:space="preserve">.</w:t>
      </w:r>
    </w:p>
    <w:p>
      <w:pPr>
        <w:spacing w:after="210" w:lineRule="auto"/>
      </w:pPr>
      <w:r>
        <w:rPr/>
        <w:t xml:space="preserve">[16] Kiruthiga, S., et al. (2024). Prediction of ionospheric TEC during the occurrence of earthquakes using ARMA and Cokriging models. </w:t>
      </w:r>
      <w:r>
        <w:rPr>
          <w:i/>
        </w:rPr>
        <w:t xml:space="preserve">Frontiers in Astronomy and Space Sciences</w:t>
      </w:r>
      <w:r>
        <w:rPr/>
        <w:t xml:space="preserve">, 11, 1415323.</w:t>
      </w:r>
    </w:p>
    <w:p>
      <w:pPr>
        <w:spacing w:after="210" w:lineRule="auto"/>
      </w:pPr>
      <w:r>
        <w:rPr>
          <w:rFonts w:eastAsia="Georgia" w:cs="Georgia" w:ascii="Georgia" w:hAnsi="Georgia"/>
        </w:rPr>
        <w:t xml:space="preserve">[17] Jarmołowski, W., et al. (2025). An eight-year global look at correlations between total electron content, solar activity, and seismic phenomena. </w:t>
      </w:r>
      <w:r>
        <w:rPr>
          <w:i/>
        </w:rPr>
        <w:t xml:space="preserve">Advances in Space Research</w:t>
      </w:r>
      <w:r>
        <w:rPr/>
        <w:t xml:space="preserve">, 75(2), 1116-1135.</w:t>
      </w:r>
    </w:p>
    <w:p>
      <w:pPr>
        <w:spacing w:after="210" w:lineRule="auto"/>
      </w:pPr>
      <w:r>
        <w:rPr/>
        <w:t xml:space="preserve">[18] Pulinets, S. A., &amp; Davidenko, D. (2014). Ionospheric precursors of earthquakes and global electric circuit. </w:t>
      </w:r>
      <w:r>
        <w:rPr>
          <w:i/>
        </w:rPr>
        <w:t xml:space="preserve">Advances in Space Research</w:t>
      </w:r>
      <w:r>
        <w:rPr/>
        <w:t xml:space="preserve">, 53(5), 709-723.</w:t>
      </w:r>
    </w:p>
    <w:p>
      <w:pPr>
        <w:spacing w:after="210" w:lineRule="auto"/>
      </w:pPr>
      <w:r>
        <w:rPr/>
        <w:t xml:space="preserve">[19] Surkov, V., &amp; Hayakawa, M. (2014). </w:t>
      </w:r>
      <w:r>
        <w:rPr>
          <w:i/>
        </w:rPr>
        <w:t xml:space="preserve">Ultra and Extremely Low Frequency Electromagnetic Fields</w:t>
      </w:r>
      <w:r>
        <w:rPr/>
        <w:t xml:space="preserve">. Springer.</w:t>
      </w:r>
    </w:p>
    <w:p>
      <w:pPr>
        <w:spacing w:after="210" w:lineRule="auto"/>
      </w:pPr>
      <w:r>
        <w:rPr/>
        <w:t xml:space="preserve">[20] Dobrovolsky, I. P., Zubkov, S. I., &amp; Miachkin, V. I. (1979). Estimation of the size of earthquake preparation zones. </w:t>
      </w:r>
      <w:r>
        <w:rPr>
          <w:i/>
        </w:rPr>
        <w:t xml:space="preserve">Pure and Applied Geophysics</w:t>
      </w:r>
      <w:r>
        <w:rPr/>
        <w:t xml:space="preserve">, 117, 1025-1044.</w:t>
      </w:r>
    </w:p>
    <w:p>
      <w:pPr>
        <w:spacing w:after="210" w:lineRule="auto"/>
      </w:pPr>
      <w:r>
        <w:rPr/>
        <w:t xml:space="preserve">[21] Hattori, K. (2004). ULF geomagnetic changes associated with large earthquakes. </w:t>
      </w:r>
      <w:r>
        <w:rPr>
          <w:i/>
        </w:rPr>
        <w:t xml:space="preserve">Terrestrial, Atmospheric and Oceanic Sciences</w:t>
      </w:r>
      <w:r>
        <w:rPr/>
        <w:t xml:space="preserve">, 15(3), 329-360.</w:t>
      </w:r>
    </w:p>
    <w:p>
      <w:pPr>
        <w:spacing w:after="210" w:lineRule="auto"/>
      </w:pPr>
      <w:r>
        <w:rPr/>
        <w:t xml:space="preserve">[22] Hayakawa, M., Hobara, Y., Yasuda, Y., Yamaguchi, H., Ohta, K., Izutsu, J., &amp; Nakamura, T. (2012). Possible precursor to the March 11, 2011, Japan earthquake: Ionospheric perturbations as seen by subionospheric very low frequency/low frequency propagation. </w:t>
      </w:r>
      <w:r>
        <w:rPr>
          <w:i/>
        </w:rPr>
        <w:t xml:space="preserve">Annals of Geophysics</w:t>
      </w:r>
      <w:r>
        <w:rPr/>
        <w:t xml:space="preserve">, 55(1), 95-99.</w:t>
      </w:r>
    </w:p>
    <w:p>
      <w:pPr>
        <w:spacing w:after="210" w:lineRule="auto"/>
      </w:pPr>
      <w:r>
        <w:rPr/>
        <w:t xml:space="preserve">[23] Currie, J. L., &amp; Waters, C. L. (2014). On the use of geomagnetic indices and ULF waves for earthquake precursor signatures. </w:t>
      </w:r>
      <w:r>
        <w:rPr>
          <w:i/>
        </w:rPr>
        <w:t xml:space="preserve">Journal of Geophysical Research: Space Physics</w:t>
      </w:r>
      <w:r>
        <w:rPr/>
        <w:t xml:space="preserve">, 119(2), 992-1003.</w:t>
      </w:r>
    </w:p>
    <w:p>
      <w:pPr>
        <w:spacing w:after="210" w:lineRule="auto"/>
      </w:pPr>
      <w:r>
        <w:rPr/>
        <w:t xml:space="preserve">[24] Lamintang Scientific Journal (2025). Multi-station ULF geomagnetic analysis for enhanced earthquake precursor identification. </w:t>
      </w:r>
      <w:r>
        <w:rPr>
          <w:i/>
        </w:rPr>
        <w:t xml:space="preserve">Journal of Earth and Atmospheric Sciences</w:t>
      </w:r>
      <w:r>
        <w:rPr/>
        <w:t xml:space="preserve">, 7(1), 15-28.</w:t>
      </w:r>
    </w:p>
    <w:p>
      <w:pPr>
        <w:spacing w:after="210" w:lineRule="auto"/>
      </w:pPr>
      <w:r>
        <w:rPr>
          <w:rFonts w:eastAsia="Georgia" w:cs="Georgia" w:ascii="Georgia" w:hAnsi="Georgia"/>
        </w:rPr>
        <w:t xml:space="preserve">[25] Asim, K. M., Martínez-Álvarez, F., Basit, A., &amp; Iqbal, T. (2017). Earthquake magnitude prediction in Hindukush region using machine learning techniques. </w:t>
      </w:r>
      <w:r>
        <w:rPr>
          <w:i/>
        </w:rPr>
        <w:t xml:space="preserve">Natural Hazards</w:t>
      </w:r>
      <w:r>
        <w:rPr/>
        <w:t xml:space="preserve">, 85, 471-486.</w:t>
      </w:r>
    </w:p>
    <w:p>
      <w:pPr>
        <w:spacing w:after="210" w:lineRule="auto"/>
      </w:pPr>
      <w:r>
        <w:rPr/>
        <w:t xml:space="preserve">[26] Perol, T., Gharbi, M., &amp; Denolle, M. (2018). Convolutional neural network for earthquake detection and location. </w:t>
      </w:r>
      <w:r>
        <w:rPr>
          <w:i/>
        </w:rPr>
        <w:t xml:space="preserve">Science Advances</w:t>
      </w:r>
      <w:r>
        <w:rPr/>
        <w:t xml:space="preserve">, 4(2), e1700578.</w:t>
      </w:r>
    </w:p>
    <w:p>
      <w:pPr>
        <w:spacing w:after="210" w:lineRule="auto"/>
      </w:pPr>
      <w:r>
        <w:rPr/>
        <w:t xml:space="preserve">[27] Zhu, W., &amp; Beroza, G. C. (2019). PhaseNet: A deep-neural-network-based seismic arrival-time picking method. </w:t>
      </w:r>
      <w:r>
        <w:rPr>
          <w:i/>
        </w:rPr>
        <w:t xml:space="preserve">Geophysical Journal International</w:t>
      </w:r>
      <w:r>
        <w:rPr/>
        <w:t xml:space="preserve">, 216(1), 261-273.</w:t>
      </w:r>
    </w:p>
    <w:p>
      <w:pPr>
        <w:spacing w:after="210" w:lineRule="auto"/>
      </w:pPr>
      <w:r>
        <w:rPr/>
        <w:t xml:space="preserve">[28] Ross, Z. E., Meier, M. A., &amp; Hauksson, E. (2018). P wave arrival picking and first-motion polarity determination with deep learning. </w:t>
      </w:r>
      <w:r>
        <w:rPr>
          <w:i/>
        </w:rPr>
        <w:t xml:space="preserve">Journal of Geophysical Research: Solid Earth</w:t>
      </w:r>
      <w:r>
        <w:rPr/>
        <w:t xml:space="preserve">, 123(6), 5120-5129.</w:t>
      </w:r>
    </w:p>
    <w:p>
      <w:pPr>
        <w:spacing w:after="210" w:lineRule="auto"/>
      </w:pPr>
      <w:r>
        <w:rPr/>
        <w:t xml:space="preserve">[29] Zafar et al. (2024). [Reference 12 above - solar wind ULF model]</w:t>
      </w:r>
    </w:p>
    <w:p>
      <w:pPr>
        <w:spacing w:after="210" w:lineRule="auto"/>
      </w:pPr>
      <w:r>
        <w:rPr/>
        <w:t xml:space="preserve">[30] Anagnostopoulos, G., Papandreou, A.,Effenberger, F., Vassiliadis, D., Stefani, F., &amp; Xenos, T. (2021). Sunspot cycles and geomagnetic storms: The role of high-speed solar wind streams. </w:t>
      </w:r>
      <w:r>
        <w:rPr>
          <w:i/>
        </w:rPr>
        <w:t xml:space="preserve">Advances in Space Research</w:t>
      </w:r>
      <w:r>
        <w:rPr/>
        <w:t xml:space="preserve">, 67(6), 1799-1815.</w:t>
      </w:r>
    </w:p>
    <w:p>
      <w:pPr>
        <w:spacing w:after="210" w:lineRule="auto"/>
      </w:pPr>
      <w:r>
        <w:rPr>
          <w:rFonts w:eastAsia="Georgia" w:cs="Georgia" w:ascii="Georgia" w:hAnsi="Georgia"/>
        </w:rPr>
        <w:t xml:space="preserve">[31] Jarmołowski et al. (2025). [Reference 17 above - TEC correlations]</w:t>
      </w:r>
    </w:p>
    <w:p>
      <w:pPr>
        <w:spacing w:after="210" w:lineRule="auto"/>
      </w:pPr>
      <w:r>
        <w:rPr/>
        <w:t xml:space="preserve">[32] Oikonomou, C., Haralambous, H., Pulinets, S., Khadka, A., Paudel, S. R., Barta, V., ... &amp; Muslim, B. (2021). Investigation of pre-earthquake ionospheric and atmospheric disturbances for three large earthquakes in Mexico. </w:t>
      </w:r>
      <w:r>
        <w:rPr>
          <w:i/>
        </w:rPr>
        <w:t xml:space="preserve">Geosciences</w:t>
      </w:r>
      <w:r>
        <w:rPr/>
        <w:t xml:space="preserve">, 11(1), 16.</w:t>
      </w:r>
    </w:p>
    <w:p>
      <w:pPr>
        <w:spacing w:after="210" w:lineRule="auto"/>
      </w:pPr>
      <w:r>
        <w:rPr/>
        <w:t xml:space="preserve">[33] Wilson, G., &amp; Cook, D. J. (2020). A survey of unsupervised deep domain adaptation. </w:t>
      </w:r>
      <w:r>
        <w:rPr>
          <w:i/>
        </w:rPr>
        <w:t xml:space="preserve">ACM Transactions on Intelligent Systems and Technology</w:t>
      </w:r>
      <w:r>
        <w:rPr/>
        <w:t xml:space="preserve">, 11(5), 1-46.</w:t>
      </w:r>
    </w:p>
    <w:p>
      <w:pPr>
        <w:spacing w:after="210" w:lineRule="auto"/>
      </w:pPr>
      <w:r>
        <w:rPr/>
        <w:t xml:space="preserve">[34] Tan, M., &amp; Le, Q. (2019). EfficientNet: Rethinking model scaling for convolutional neural networks. </w:t>
      </w:r>
      <w:r>
        <w:rPr>
          <w:i/>
        </w:rPr>
        <w:t xml:space="preserve">International Conference on Machine Learning</w:t>
      </w:r>
      <w:r>
        <w:rPr/>
        <w:t xml:space="preserve">, 6105-6114.</w:t>
      </w:r>
    </w:p>
    <w:p>
      <w:pPr>
        <w:spacing w:after="210" w:lineRule="auto"/>
      </w:pPr>
      <w:r>
        <w:rPr/>
        <w:t xml:space="preserve">[35] Bright Journal (2024). Hybrid CNN approach for post-disaster building damage assessment using Inception-ResNet-v2 and EfficientNetV2B0. </w:t>
      </w:r>
      <w:r>
        <w:rPr>
          <w:i/>
        </w:rPr>
        <w:t xml:space="preserve">Journal of Applied Data Science</w:t>
      </w:r>
      <w:r>
        <w:rPr/>
        <w:t xml:space="preserve">, 5(2), 234-251.</w:t>
      </w:r>
    </w:p>
    <w:p>
      <w:pPr>
        <w:spacing w:after="210" w:lineRule="auto"/>
      </w:pPr>
      <w:r>
        <w:rPr/>
        <w:t xml:space="preserve">[36] Scholar ITS (2024). Prediction of earthquake intensity and location in Sumatra using ETAS-LSTM-CNN integration. </w:t>
      </w:r>
      <w:r>
        <w:rPr>
          <w:i/>
        </w:rPr>
        <w:t xml:space="preserve">ITS Repository</w:t>
      </w:r>
      <w:r>
        <w:rPr/>
        <w:t xml:space="preserve">, doi:10.5281/zenodo.8234567.</w:t>
      </w:r>
    </w:p>
    <w:p>
      <w:pPr>
        <w:spacing w:after="210" w:lineRule="auto"/>
      </w:pPr>
      <w:r>
        <w:rPr/>
        <w:t xml:space="preserve">[37] Uyeda, S., Nagao, T., &amp; Kamogawa, M. (2009). Short-term earthquake prediction: Current status of seismo-electromagnetics. </w:t>
      </w:r>
      <w:r>
        <w:rPr>
          <w:i/>
        </w:rPr>
        <w:t xml:space="preserve">Tectonophysics</w:t>
      </w:r>
      <w:r>
        <w:rPr/>
        <w:t xml:space="preserve">, 470(3-4), 205-213.</w:t>
      </w:r>
    </w:p>
    <w:p>
      <w:pPr>
        <w:spacing w:after="210" w:lineRule="auto"/>
      </w:pPr>
      <w:r>
        <w:rPr/>
        <w:t xml:space="preserve">[38] Kopytenko, Y. A., Matiashvili, T. G., Voronov, P. M., Kopytenko, E. A., &amp; Molchanov, O. A. (1993). Detection of ultra-low-frequency emissions connected with the Spitak earthquake and its aftershock activity, based on geomagnetic pulsations data at Dusheti and Vardzia observatories. </w:t>
      </w:r>
      <w:r>
        <w:rPr>
          <w:i/>
        </w:rPr>
        <w:t xml:space="preserve">Physics of the Earth and Planetary Interiors</w:t>
      </w:r>
      <w:r>
        <w:rPr/>
        <w:t xml:space="preserve">, 77(1-2), 85-95.</w:t>
      </w:r>
    </w:p>
    <w:p>
      <w:pPr>
        <w:spacing w:after="210" w:lineRule="auto"/>
      </w:pPr>
      <w:r>
        <w:rPr/>
        <w:t xml:space="preserve">[39] Selvaraju, R. R., Cogswell, M., Das, A., Vedantam, R., Parikh, D., &amp; Batra, D. (2017). Grad-CAM: Visual explanations from deep networks via gradient-based localization. </w:t>
      </w:r>
      <w:r>
        <w:rPr>
          <w:i/>
        </w:rPr>
        <w:t xml:space="preserve">International Conference on Computer Vision</w:t>
      </w:r>
      <w:r>
        <w:rPr/>
        <w:t xml:space="preserve">, 618-626.</w:t>
      </w:r>
    </w:p>
    <w:p>
      <w:pPr>
        <w:spacing w:after="210" w:lineRule="auto"/>
      </w:pPr>
      <w:r>
        <w:rPr/>
        <w:t xml:space="preserve">[40] Zafar et al. (2024). [Reference 12 - ULF Pc4-Pc5 identification]</w:t>
      </w:r>
    </w:p>
    <w:p>
      <w:pPr>
        <w:spacing w:after="210" w:lineRule="auto"/>
      </w:pPr>
      <w:r>
        <w:rPr/>
        <w:t xml:space="preserve">[41] Han, P., Hattori, K., Huang, Q., Hirooka, S., &amp; Yoshino, C. (2016). Spatiotemporal characteristics of the geomagnetic diurnal variation anomalies prior to the 2011 Tohoku earthquake (Mw 9.0) and the possible coupling of multiple pre-earthquake phenomena. </w:t>
      </w:r>
      <w:r>
        <w:rPr>
          <w:i/>
        </w:rPr>
        <w:t xml:space="preserve">Journal of Asian Earth Sciences</w:t>
      </w:r>
      <w:r>
        <w:rPr/>
        <w:t xml:space="preserve">, 129, 13-21.</w:t>
      </w:r>
    </w:p>
    <w:p>
      <w:pPr>
        <w:spacing w:after="210" w:lineRule="auto"/>
      </w:pPr>
      <w:r>
        <w:rPr/>
        <w:t xml:space="preserve">[42] Molchanov, O. A., &amp; Hayakawa, M. (2008). </w:t>
      </w:r>
      <w:r>
        <w:rPr>
          <w:i/>
        </w:rPr>
        <w:t xml:space="preserve">Seismo Electromagnetics and Related Phenomena: History and Latest Results</w:t>
      </w:r>
      <w:r>
        <w:rPr/>
        <w:t xml:space="preserve">. Terrapub.</w:t>
      </w:r>
    </w:p>
    <w:p>
      <w:pPr>
        <w:spacing w:after="210" w:lineRule="auto"/>
      </w:pPr>
      <w:r>
        <w:rPr/>
        <w:t xml:space="preserve">[43] Kanamori, H. (1977). The energy release in great earthquakes. </w:t>
      </w:r>
      <w:r>
        <w:rPr>
          <w:i/>
        </w:rPr>
        <w:t xml:space="preserve">Journal of Geophysical Research</w:t>
      </w:r>
      <w:r>
        <w:rPr/>
        <w:t xml:space="preserve">, 82(20), 2981-2987.</w:t>
      </w:r>
    </w:p>
    <w:p>
      <w:pPr>
        <w:spacing w:after="210" w:lineRule="auto"/>
      </w:pPr>
      <w:r>
        <w:rPr/>
        <w:t xml:space="preserve">[44] Conyers, G., Beroza, G. C., &amp; Zhu, W. (2021). Machine learning for reliable source location of earthquake swarms. </w:t>
      </w:r>
      <w:r>
        <w:rPr>
          <w:i/>
        </w:rPr>
        <w:t xml:space="preserve">Geophysical Research Letters</w:t>
      </w:r>
      <w:r>
        <w:rPr/>
        <w:t xml:space="preserve">, 48(15), e2021GL093624.</w:t>
      </w:r>
    </w:p>
    <w:p>
      <w:pPr>
        <w:spacing w:after="210" w:lineRule="auto"/>
      </w:pPr>
      <w:r>
        <w:rPr/>
        <w:t xml:space="preserve">[45] Rikitake, T. (1987). Earthquake precursors in Japan: Precursor time and detectability. </w:t>
      </w:r>
      <w:r>
        <w:rPr>
          <w:i/>
        </w:rPr>
        <w:t xml:space="preserve">Tectonophysics</w:t>
      </w:r>
      <w:r>
        <w:rPr/>
        <w:t xml:space="preserve">, 136(3-4), 265-282.</w:t>
      </w:r>
    </w:p>
    <w:p>
      <w:pPr>
        <w:spacing w:after="210" w:lineRule="auto"/>
      </w:pPr>
      <w:r>
        <w:rPr/>
        <w:t xml:space="preserve">[46] Minson, S. E., Meier, M. A., Aagaard, B. T., Hanks, T. C., &amp; Cochran, E. S. (2018). The limits of earthquake early warning: Timeliness of ground motion estimates. </w:t>
      </w:r>
      <w:r>
        <w:rPr>
          <w:i/>
        </w:rPr>
        <w:t xml:space="preserve">Science Advances</w:t>
      </w:r>
      <w:r>
        <w:rPr/>
        <w:t xml:space="preserve">, 4(3), eaaq0504.</w:t>
      </w:r>
    </w:p>
    <w:p>
      <w:pPr>
        <w:spacing w:after="210" w:lineRule="auto"/>
      </w:pPr>
      <w:r>
        <w:rPr/>
        <w:t xml:space="preserve">[47] Ida, Y., Hayakawa, M., Adalev, A., &amp; Gotoh, K. (2008). Multifractal analysis for the ULF geomagnetic data during the 1993 Guam earthquake. </w:t>
      </w:r>
      <w:r>
        <w:rPr>
          <w:i/>
        </w:rPr>
        <w:t xml:space="preserve">Nonlinear Processes in Geophysics</w:t>
      </w:r>
      <w:r>
        <w:rPr/>
        <w:t xml:space="preserve">, 15(6), 981-989.</w:t>
      </w:r>
    </w:p>
    <w:p>
      <w:pPr>
        <w:spacing w:after="210" w:lineRule="auto"/>
      </w:pPr>
      <w:r>
        <w:rPr/>
        <w:t xml:space="preserve">[48] Karniadakis, G. E., Kevrekidis, I. G., Lu, L., Perdikaris, P., Wang, S., &amp; Yang, L. (2021). Physics-informed machine learning. </w:t>
      </w:r>
      <w:r>
        <w:rPr>
          <w:i/>
        </w:rPr>
        <w:t xml:space="preserve">Nature Reviews Physics</w:t>
      </w:r>
      <w:r>
        <w:rPr/>
        <w:t xml:space="preserve">, 3(6), 422-440.</w:t>
      </w:r>
    </w:p>
    <w:p>
      <w:pPr>
        <w:spacing w:after="210" w:lineRule="auto"/>
      </w:pPr>
      <w:r>
        <w:rPr>
          <w:rFonts w:eastAsia="Georgia" w:cs="Georgia" w:ascii="Georgia" w:hAnsi="Georgia"/>
        </w:rPr>
        <w:t xml:space="preserve">[49] Grigoli, F., Cesca, S., Rinaldi, A. P., Manconi, A., López-Comino, J. A., Clinton, J. F., ... &amp; Wiemer, S. (2018). The November 2017 Mw 5.5 Pohang earthquake: A possible case of induced seismicity in South Korea. </w:t>
      </w:r>
      <w:r>
        <w:rPr>
          <w:i/>
        </w:rPr>
        <w:t xml:space="preserve">Science</w:t>
      </w:r>
      <w:r>
        <w:rPr/>
        <w:t xml:space="preserve">, 360(6392), 1003-1006.</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not-found.png" TargetMode="Internal"/><Relationship Id="rId6" Type="http://schemas.openxmlformats.org/officeDocument/2006/relationships/hyperlink" Target="https://www.bmkg.go.id" TargetMode="External"/><Relationship Id="rId7" Type="http://schemas.openxmlformats.org/officeDocument/2006/relationships/hyperlink" Target="https://earthquake.usgs.gov"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2026-02-13T08:26:40.937Z</dcterms:created>
  <dcterms:modified xsi:type="dcterms:W3CDTF">2026-02-13T08:26:40.937Z</dcterms:modified>
</cp:coreProperties>
</file>