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  <w:spacing w:after="120"/>
      </w:pPr>
      <w:r>
        <w:t>VGG16 and EfficientNet-B0 comparison for ULF earthquake precursor detection.</w:t>
      </w:r>
    </w:p>
    <w:p>
      <w:pPr>
        <w:pStyle w:val="ListBullet"/>
        <w:spacing w:after="120"/>
      </w:pPr>
      <w:r>
        <w:t>Achieved 98.68% magnitude accuracy using 7 years of Indonesian BMKG data.</w:t>
      </w:r>
    </w:p>
    <w:p>
      <w:pPr>
        <w:pStyle w:val="ListBullet"/>
        <w:spacing w:after="120"/>
      </w:pPr>
      <w:r>
        <w:t>LOEO cross-validation ensures robust spatial-temporal generalization.</w:t>
      </w:r>
    </w:p>
    <w:p>
      <w:pPr>
        <w:pStyle w:val="ListBullet"/>
        <w:spacing w:after="120"/>
      </w:pPr>
      <w:r>
        <w:t>Grad-CAM confirms model focus on physically meaningful 0.001–0.01 Hz ULF bands.</w:t>
      </w:r>
    </w:p>
    <w:p>
      <w:pPr>
        <w:pStyle w:val="ListBullet"/>
        <w:spacing w:after="120"/>
      </w:pPr>
      <w:r>
        <w:t>EfficientNet-B0 offers 2.5x faster inference for operational early warning.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