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Materials</w:t>
      </w:r>
    </w:p>
    <w:p>
      <w:pPr>
        <w:jc w:val="center"/>
      </w:pPr>
      <w:r>
        <w:rPr>
          <w:b/>
        </w:rPr>
        <w:t>Earthquake Precursor Detection using Deep Learning:</w:t>
        <w:br/>
        <w:t>A Comparative Study of VGG16 and EfficientNet-B0</w:t>
      </w:r>
    </w:p>
    <w:p>
      <w:r>
        <w:t>Last Updated: 4 February 2026</w:t>
      </w:r>
    </w:p>
    <w:p/>
    <w:p>
      <w:pPr>
        <w:pStyle w:val="Heading1"/>
      </w:pPr>
      <w:r>
        <w:t>S1. Dataset Details</w:t>
      </w:r>
    </w:p>
    <w:p>
      <w:pPr>
        <w:pStyle w:val="Heading2"/>
      </w:pPr>
      <w:r>
        <w:t>S1.1 Dataset Summary</w:t>
      </w:r>
    </w:p>
    <w:p>
      <w:r>
        <w:t>• Total earthquake events: 301</w:t>
      </w:r>
    </w:p>
    <w:p>
      <w:r>
        <w:t>• Total spectrogram samples: 1,972</w:t>
      </w:r>
    </w:p>
    <w:p>
      <w:r>
        <w:t>• Temporal window: 6 hours before earthquake</w:t>
      </w:r>
    </w:p>
    <w:p>
      <w:r>
        <w:t>• Spectrogram resolution: 224×224 pixels</w:t>
      </w:r>
    </w:p>
    <w:p>
      <w:pPr>
        <w:pStyle w:val="Heading2"/>
      </w:pPr>
      <w:r>
        <w:t>S1.2 Magnitude Class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M4.0-4.9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M5.0-5.9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Large</w:t>
            </w:r>
          </w:p>
        </w:tc>
        <w:tc>
          <w:tcPr>
            <w:tcW w:type="dxa" w:w="2880"/>
          </w:tcPr>
          <w:p>
            <w:r>
              <w:t>M6.0-6.9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Major</w:t>
            </w:r>
          </w:p>
        </w:tc>
        <w:tc>
          <w:tcPr>
            <w:tcW w:type="dxa" w:w="2880"/>
          </w:tcPr>
          <w:p>
            <w:r>
              <w:t>M7.0+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p/>
    <w:p>
      <w:pPr>
        <w:pStyle w:val="Heading1"/>
      </w:pPr>
      <w:r>
        <w:t>S2. Model Configuration</w:t>
      </w:r>
    </w:p>
    <w:p>
      <w:pPr>
        <w:pStyle w:val="Heading2"/>
      </w:pPr>
      <w:r>
        <w:t>S2.1 EfficientNet-B0 (Recommended)</w:t>
      </w:r>
    </w:p>
    <w:p>
      <w:r>
        <w:t>• Architecture: EfficientNet-B0 with ImageNet pretrained weights</w:t>
      </w:r>
    </w:p>
    <w:p>
      <w:r>
        <w:t>• Input size: 224×224×3</w:t>
      </w:r>
    </w:p>
    <w:p>
      <w:r>
        <w:t>• Optimizer: Adam (lr=1e-4)</w:t>
      </w:r>
    </w:p>
    <w:p>
      <w:r>
        <w:t>• Batch size: 32</w:t>
      </w:r>
    </w:p>
    <w:p>
      <w:r>
        <w:t>• Epochs: 50 (with early stopping)</w:t>
      </w:r>
    </w:p>
    <w:p>
      <w:r>
        <w:t>• Dropout: 0.3</w:t>
      </w:r>
    </w:p>
    <w:p>
      <w:pPr>
        <w:pStyle w:val="Heading2"/>
      </w:pPr>
      <w:r>
        <w:t>S2.2 VGG16</w:t>
      </w:r>
    </w:p>
    <w:p>
      <w:r>
        <w:t>• Architecture: VGG16 with ImageNet pretrained weights</w:t>
      </w:r>
    </w:p>
    <w:p>
      <w:r>
        <w:t>• Input size: 224×224×3</w:t>
      </w:r>
    </w:p>
    <w:p>
      <w:r>
        <w:t>• Optimizer: Adam (lr=1e-4)</w:t>
      </w:r>
    </w:p>
    <w:p>
      <w:r>
        <w:t>• Batch size: 32</w:t>
      </w:r>
    </w:p>
    <w:p>
      <w:r>
        <w:t>• Epochs: 50 (with early stopping)</w:t>
      </w:r>
    </w:p>
    <w:p>
      <w:r>
        <w:t>• Dropout: 0.5</w:t>
      </w:r>
    </w:p>
    <w:p>
      <w:pPr>
        <w:pStyle w:val="Heading1"/>
      </w:pPr>
      <w:r>
        <w:t>S3. Training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Magnitude Acc</w:t>
            </w:r>
          </w:p>
        </w:tc>
        <w:tc>
          <w:tcPr>
            <w:tcW w:type="dxa" w:w="2160"/>
          </w:tcPr>
          <w:p>
            <w:r>
              <w:t>Azimuth Acc</w:t>
            </w:r>
          </w:p>
        </w:tc>
        <w:tc>
          <w:tcPr>
            <w:tcW w:type="dxa" w:w="2160"/>
          </w:tcPr>
          <w:p>
            <w:r>
              <w:t>Model Size</w:t>
            </w:r>
          </w:p>
        </w:tc>
      </w:tr>
      <w:tr>
        <w:tc>
          <w:tcPr>
            <w:tcW w:type="dxa" w:w="2160"/>
          </w:tcPr>
          <w:p>
            <w:r>
              <w:t>VGG16</w:t>
            </w:r>
          </w:p>
        </w:tc>
        <w:tc>
          <w:tcPr>
            <w:tcW w:type="dxa" w:w="2160"/>
          </w:tcPr>
          <w:p>
            <w:r>
              <w:t>98.68%</w:t>
            </w:r>
          </w:p>
        </w:tc>
        <w:tc>
          <w:tcPr>
            <w:tcW w:type="dxa" w:w="2160"/>
          </w:tcPr>
          <w:p>
            <w:r>
              <w:t>54.93%</w:t>
            </w:r>
          </w:p>
        </w:tc>
        <w:tc>
          <w:tcPr>
            <w:tcW w:type="dxa" w:w="2160"/>
          </w:tcPr>
          <w:p>
            <w:r>
              <w:t>528 MB</w:t>
            </w:r>
          </w:p>
        </w:tc>
      </w:tr>
      <w:tr>
        <w:tc>
          <w:tcPr>
            <w:tcW w:type="dxa" w:w="2160"/>
          </w:tcPr>
          <w:p>
            <w:r>
              <w:t>EfficientNet-B0</w:t>
            </w:r>
          </w:p>
        </w:tc>
        <w:tc>
          <w:tcPr>
            <w:tcW w:type="dxa" w:w="2160"/>
          </w:tcPr>
          <w:p>
            <w:r>
              <w:t>94.37%</w:t>
            </w:r>
          </w:p>
        </w:tc>
        <w:tc>
          <w:tcPr>
            <w:tcW w:type="dxa" w:w="2160"/>
          </w:tcPr>
          <w:p>
            <w:r>
              <w:t>57.39%</w:t>
            </w:r>
          </w:p>
        </w:tc>
        <w:tc>
          <w:tcPr>
            <w:tcW w:type="dxa" w:w="2160"/>
          </w:tcPr>
          <w:p>
            <w:r>
              <w:t>20 MB</w:t>
            </w:r>
          </w:p>
        </w:tc>
      </w:tr>
      <w:tr>
        <w:tc>
          <w:tcPr>
            <w:tcW w:type="dxa" w:w="2160"/>
          </w:tcPr>
          <w:p>
            <w:r>
              <w:t>EfficientNet (LOEO)</w:t>
            </w:r>
          </w:p>
        </w:tc>
        <w:tc>
          <w:tcPr>
            <w:tcW w:type="dxa" w:w="2160"/>
          </w:tcPr>
          <w:p>
            <w:r>
              <w:t>97.53%</w:t>
            </w:r>
          </w:p>
        </w:tc>
        <w:tc>
          <w:tcPr>
            <w:tcW w:type="dxa" w:w="2160"/>
          </w:tcPr>
          <w:p>
            <w:r>
              <w:t>69.51%</w:t>
            </w:r>
          </w:p>
        </w:tc>
        <w:tc>
          <w:tcPr>
            <w:tcW w:type="dxa" w:w="2160"/>
          </w:tcPr>
          <w:p>
            <w:r>
              <w:t>20 MB</w:t>
            </w:r>
          </w:p>
        </w:tc>
      </w:tr>
    </w:tbl>
    <w:p/>
    <w:p>
      <w:pPr>
        <w:pStyle w:val="Heading1"/>
      </w:pPr>
      <w:r>
        <w:t>S4. Leave-One-Event-Out (LOEO) Cross-Validation</w:t>
      </w:r>
    </w:p>
    <w:p>
      <w:pPr>
        <w:pStyle w:val="Heading2"/>
      </w:pPr>
      <w:r>
        <w:t>S4.1 Methodology</w:t>
      </w:r>
    </w:p>
    <w:p>
      <w:r>
        <w:t>To validate model generalization to unseen earthquake events, we performed Leave-One-Event-Out (LOEO) 10-fold cross-validation. This approach ensures that all spectrograms from the same earthquake event are kept together, and test sets contain completely unseen events with no temporal overlap.</w:t>
      </w:r>
    </w:p>
    <w:p>
      <w:pPr>
        <w:pStyle w:val="Heading2"/>
      </w:pPr>
      <w:r>
        <w:t>S4.2 LOEO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Random Split</w:t>
            </w:r>
          </w:p>
        </w:tc>
        <w:tc>
          <w:tcPr>
            <w:tcW w:type="dxa" w:w="2160"/>
          </w:tcPr>
          <w:p>
            <w:r>
              <w:t>LOEO (10-Fold)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Magnitude</w:t>
            </w:r>
          </w:p>
        </w:tc>
        <w:tc>
          <w:tcPr>
            <w:tcW w:type="dxa" w:w="2160"/>
          </w:tcPr>
          <w:p>
            <w:r>
              <w:t>94.37%</w:t>
            </w:r>
          </w:p>
        </w:tc>
        <w:tc>
          <w:tcPr>
            <w:tcW w:type="dxa" w:w="2160"/>
          </w:tcPr>
          <w:p>
            <w:r>
              <w:t>97.53% ± 0.96%</w:t>
            </w:r>
          </w:p>
        </w:tc>
        <w:tc>
          <w:tcPr>
            <w:tcW w:type="dxa" w:w="2160"/>
          </w:tcPr>
          <w:p>
            <w:r>
              <w:t>+3.16%</w:t>
            </w:r>
          </w:p>
        </w:tc>
      </w:tr>
      <w:tr>
        <w:tc>
          <w:tcPr>
            <w:tcW w:type="dxa" w:w="2160"/>
          </w:tcPr>
          <w:p>
            <w:r>
              <w:t>Azimuth</w:t>
            </w:r>
          </w:p>
        </w:tc>
        <w:tc>
          <w:tcPr>
            <w:tcW w:type="dxa" w:w="2160"/>
          </w:tcPr>
          <w:p>
            <w:r>
              <w:t>57.39%</w:t>
            </w:r>
          </w:p>
        </w:tc>
        <w:tc>
          <w:tcPr>
            <w:tcW w:type="dxa" w:w="2160"/>
          </w:tcPr>
          <w:p>
            <w:r>
              <w:t>69.51% ± 5.65%</w:t>
            </w:r>
          </w:p>
        </w:tc>
        <w:tc>
          <w:tcPr>
            <w:tcW w:type="dxa" w:w="2160"/>
          </w:tcPr>
          <w:p>
            <w:r>
              <w:t>+12.12%</w:t>
            </w:r>
          </w:p>
        </w:tc>
      </w:tr>
    </w:tbl>
    <w:p/>
    <w:p>
      <w:pPr>
        <w:pStyle w:val="Heading2"/>
      </w:pPr>
      <w:r>
        <w:t>S4.3 Per-Fold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Fold</w:t>
            </w:r>
          </w:p>
        </w:tc>
        <w:tc>
          <w:tcPr>
            <w:tcW w:type="dxa" w:w="2160"/>
          </w:tcPr>
          <w:p>
            <w:r>
              <w:t>Magnitude Acc</w:t>
            </w:r>
          </w:p>
        </w:tc>
        <w:tc>
          <w:tcPr>
            <w:tcW w:type="dxa" w:w="2160"/>
          </w:tcPr>
          <w:p>
            <w:r>
              <w:t>Azimuth Acc</w:t>
            </w:r>
          </w:p>
        </w:tc>
        <w:tc>
          <w:tcPr>
            <w:tcW w:type="dxa" w:w="2160"/>
          </w:tcPr>
          <w:p>
            <w:r>
              <w:t>Test Events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95.65%</w:t>
            </w:r>
          </w:p>
        </w:tc>
        <w:tc>
          <w:tcPr>
            <w:tcW w:type="dxa" w:w="2160"/>
          </w:tcPr>
          <w:p>
            <w:r>
              <w:t>67.39%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97.83%</w:t>
            </w:r>
          </w:p>
        </w:tc>
        <w:tc>
          <w:tcPr>
            <w:tcW w:type="dxa" w:w="2160"/>
          </w:tcPr>
          <w:p>
            <w:r>
              <w:t>68.48%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  <w:tc>
          <w:tcPr>
            <w:tcW w:type="dxa" w:w="2160"/>
          </w:tcPr>
          <w:p>
            <w:r>
              <w:t>72.00%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98.04%</w:t>
            </w:r>
          </w:p>
        </w:tc>
        <w:tc>
          <w:tcPr>
            <w:tcW w:type="dxa" w:w="2160"/>
          </w:tcPr>
          <w:p>
            <w:r>
              <w:t>71.57%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98.15%</w:t>
            </w:r>
          </w:p>
        </w:tc>
        <w:tc>
          <w:tcPr>
            <w:tcW w:type="dxa" w:w="2160"/>
          </w:tcPr>
          <w:p>
            <w:r>
              <w:t>66.67%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  <w:tc>
          <w:tcPr>
            <w:tcW w:type="dxa" w:w="2160"/>
          </w:tcPr>
          <w:p>
            <w:r>
              <w:t>72.00%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  <w:tc>
          <w:tcPr>
            <w:tcW w:type="dxa" w:w="2160"/>
          </w:tcPr>
          <w:p>
            <w:r>
              <w:t>70.00%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98.04%</w:t>
            </w:r>
          </w:p>
        </w:tc>
        <w:tc>
          <w:tcPr>
            <w:tcW w:type="dxa" w:w="2160"/>
          </w:tcPr>
          <w:p>
            <w:r>
              <w:t>66.67%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  <w:tc>
          <w:tcPr>
            <w:tcW w:type="dxa" w:w="2160"/>
          </w:tcPr>
          <w:p>
            <w:r>
              <w:t>82.00%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95.56%</w:t>
            </w:r>
          </w:p>
        </w:tc>
        <w:tc>
          <w:tcPr>
            <w:tcW w:type="dxa" w:w="2160"/>
          </w:tcPr>
          <w:p>
            <w:r>
              <w:t>58.33%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97.53%</w:t>
            </w:r>
          </w:p>
        </w:tc>
        <w:tc>
          <w:tcPr>
            <w:tcW w:type="dxa" w:w="2160"/>
          </w:tcPr>
          <w:p>
            <w:r>
              <w:t>69.51%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S4.4 Key Findings</w:t>
      </w:r>
    </w:p>
    <w:p>
      <w:r>
        <w:t>1. No Overfitting: LOEO results are BETTER than random split validation</w:t>
      </w:r>
    </w:p>
    <w:p>
      <w:r>
        <w:t>2. Strong Generalization: Model performs well on completely unseen earthquake events</w:t>
      </w:r>
    </w:p>
    <w:p>
      <w:r>
        <w:t>3. Temporal Validity: The 6-hour temporal windowing approach is scientifically valid</w:t>
      </w:r>
    </w:p>
    <w:p>
      <w:r>
        <w:t>4. Consistent Performance: Low variance across folds indicates robust model</w:t>
      </w:r>
    </w:p>
    <w:p>
      <w:pPr>
        <w:pStyle w:val="Heading1"/>
      </w:pPr>
      <w:r>
        <w:t>S5. Code Availability</w:t>
      </w:r>
    </w:p>
    <w:p>
      <w:r>
        <w:t>All code is available at: https://github.com/sumawanbmkg/earthquake-precursor-cnn</w:t>
      </w:r>
    </w:p>
    <w:p>
      <w:pPr>
        <w:pStyle w:val="Heading1"/>
      </w:pPr>
      <w:r>
        <w:t>S6. Reproducibility</w:t>
      </w:r>
    </w:p>
    <w:p>
      <w:r>
        <w:t>To reproduce the results:</w:t>
      </w:r>
    </w:p>
    <w:p>
      <w:r>
        <w:t>1. Clone repository: git clone https://github.com/sumawanbmkg/earthquake-precursor-cnn.git</w:t>
      </w:r>
    </w:p>
    <w:p>
      <w:r>
        <w:t>2. Install dependencies: pip install -r requirements.txt</w:t>
      </w:r>
    </w:p>
    <w:p>
      <w:r>
        <w:t>3. Download models: python scripts/download_models.py</w:t>
      </w:r>
    </w:p>
    <w:p>
      <w:r>
        <w:t>4. Run evaluation: python src/evaluate.py --model efficientnet</w:t>
      </w:r>
    </w:p>
    <w:p>
      <w:r>
        <w:t>5. Run LOEO validation: python scripts/train_loeo_validation.py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