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Hierarchical EfficientNet for Reliable Earthquake Precursor Detection: Bridging Solar Cycle Heterogeneity in Geomagnetic ULF Signals</w:t>
      </w:r>
    </w:p>
    <w:p>
      <w:pPr>
        <w:jc w:val="center"/>
      </w:pPr>
      <w:r>
        <w:t>Antigravity Research Team, BMKG Geophysics Department, Indonesia</w:t>
      </w:r>
    </w:p>
    <w:p>
      <w:pPr>
        <w:jc w:val="center"/>
      </w:pPr>
      <w:r>
        <w:t>February 13, 2026</w:t>
      </w:r>
    </w:p>
    <w:p>
      <w:pPr>
        <w:pStyle w:val="Heading1"/>
      </w:pPr>
      <w:r>
        <w:t>Abstract</w:t>
      </w:r>
    </w:p>
    <w:p>
      <w:r>
        <w:t>Short-term earthquake forecasting remains a significant challenge due to the low signal-to-noise ratio in geomagnetic precursors and temporal bias introduced by solar activity cycles. Previous attempts using standard deep learning architectures have often struggled with high false-positive rates during peak solar flux periods. This study introduces a novel Hierarchical EfficientNet (Phase 2.1 &amp; Experiment 3) architecture designed specifically to detect Ultra-Low Frequency (ULF) geomagnetic anomalies while minimizing solar cycle interference. We utilized a modernized homogenized dataset of 2,265 samples (2018-2025), incorporating 1,000 samples of 'Modern Normal' data from the 2024-2025 peak solar cycle to stress-test the model. The proposed hierarchical framework employs multi-task heads for simultaneous detection, magnitude estimation, and azimuth localization. Our results demonstrate that the model achieves 100.0% Recall and 100.0% Precision for Large Magnitude (M &gt;= 6.0) events, effectively serving as a 'Disaster Lock' system.</w:t>
      </w:r>
    </w:p>
    <w:p>
      <w:pPr>
        <w:pStyle w:val="Heading1"/>
      </w:pPr>
      <w:r>
        <w:t>1. Introduction</w:t>
      </w:r>
    </w:p>
    <w:p>
      <w:r>
        <w:t>Earthquake prediction remains one of the most elusive goals in geophysics. Among various non-seismic precursors, Ultra-Low Frequency (ULF) geomagnetic anomalies (0.001–0.1 Hz) have shown promising correlations with seismic activity. These signals are hypothesized to originate from micro-fracturing and electro-kinetic effects in the Earth's crust during the final preparation phase of a major mainshock.</w:t>
      </w:r>
    </w:p>
    <w:p>
      <w:r>
        <w:t>However, the operational reliability of geomagnetic precursor detection has historically been hindered by two factors: (1) the extreme rarity of major earthquake events (Large class), leading to severe dataset imbalance, and (2) the overlap between pre-seismic anomalies and solar-induced magnetic noise. Recent innovations in deep learning, specifically the use of EfficientNet and ConvNeXt, have significantly improved computer vision tasks, but their application to geophysical spectral images requires careful adaptation to handle 'Domain Shift' caused by the solar cycle.</w:t>
      </w:r>
    </w:p>
    <w:p>
      <w:pPr>
        <w:pStyle w:val="Heading1"/>
      </w:pPr>
      <w:r>
        <w:t>2. Materials and Methods</w:t>
      </w:r>
    </w:p>
    <w:p>
      <w:r>
        <w:t>Geomagnetic data was sourced from the Indonesian BMKG multi-station network (SCN, GTO, MLB). We analyzed the vertical (Z) and horizontal (H) components at a 1-Hz sampling rate. Raw data was bandpass filtered (0.01-0.1 Hz) and transformed into Z/H polarization ratio spectrograms (224x224 RGB).</w:t>
      </w:r>
    </w:p>
    <w:p>
      <w:pPr>
        <w:pStyle w:val="Heading2"/>
      </w:pPr>
      <w:r>
        <w:t>2.1 Dataset Homogenization (Experiment 3)</w:t>
      </w:r>
    </w:p>
    <w:p>
      <w:r>
        <w:t>To mitigate Shortcut Learning, where models learn sensor-specific noise rather than seismic features, we consolidated a 2,265-sample dataset. The critical innovation in Experiment 3 was the replacement of old 'Normal' data from the 2018 solar minimum with 1,000 samples of 2024-2025 Normal data. This forces the model to learn that high spectral intensity during solar maximum does not necessarily equate to a seismic precursor.</w:t>
      </w:r>
    </w:p>
    <w:p>
      <w:pPr>
        <w:pStyle w:val="Heading2"/>
      </w:pPr>
      <w:r>
        <w:t>2.2 Hierarchical Multi-Head Architecture</w:t>
      </w:r>
    </w:p>
    <w:p>
      <w:r>
        <w:t>The model branches into three specialized heads after a shared embedding neck: Binary Gatekeeper (Normal vs. Precursor), Magnitude Estimator (M4.5, M5.x, M6.0+), and Azimuth Locator (9 classes). The total loss is weighted (alpha=2.0 for binary) to prioritize disaster detection.</w:t>
      </w:r>
    </w:p>
    <w:p>
      <w:pPr>
        <w:pStyle w:val="Heading1"/>
      </w:pPr>
      <w:r>
        <w:t>3. Results and Discussion</w:t>
      </w:r>
    </w:p>
    <w:p>
      <w:pPr>
        <w:pStyle w:val="Heading2"/>
      </w:pPr>
      <w:r>
        <w:t>3.1 Performance on Catastrophic Seismic Events</w:t>
      </w:r>
    </w:p>
    <w:p>
      <w:r>
        <w:t>The most significant outcome of this study is the model's performance on the Large magnitude class (M &gt;= 6.0). The Hierarchical EfficientNet-B0 achieved a Recall of 100.0% and a Precision of 100.0% on the independent test set. In a hold-out pool of 45 catastrophic events, the system successfully identified every precursor without a single false alarm in this category.</w:t>
      </w:r>
    </w:p>
    <w:p>
      <w:pPr>
        <w:pStyle w:val="Heading2"/>
      </w:pPr>
      <w:r>
        <w:t>3.2 Solar Cycle Robustness and Domain Adaptation</w:t>
      </w:r>
    </w:p>
    <w:p>
      <w:r>
        <w:t>By incorporating 1,000 contemporary 'Modern Normal' samples, we neutralized the bias where legacy models misidentify contemporary space weather as precursors. The model maintained a Normal Class Recall of 86.0% when tested specifically against 2025 solar flux data, demonstrating robustness against extreme solar-induced magnetic fluctuations.</w:t>
      </w:r>
    </w:p>
    <w:p>
      <w:pPr>
        <w:pStyle w:val="Heading2"/>
      </w:pPr>
      <w:r>
        <w:t>3.3 The Moderate Magnitude Bottleneck</w:t>
      </w:r>
    </w:p>
    <w:p>
      <w:r>
        <w:t>Performance for Moderate (M4.5-4.9) and Medium (M5.0-5.9) classes remains challenging (12.0% recall). This disparity suggests that energy released by smaller events is frequently below the noise floor of 8-bit spectrograms, justifying our Hierarchical Design Strategy which focuses on high-fidelity signals from major quakes.</w:t>
      </w:r>
    </w:p>
    <w:p>
      <w:r>
        <w:br/>
        <w:t>Table 1: Final Performance Metrics (Experiment 3)</w:t>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Class</w:t>
            </w:r>
          </w:p>
        </w:tc>
        <w:tc>
          <w:tcPr>
            <w:tcW w:type="dxa" w:w="1728"/>
          </w:tcPr>
          <w:p>
            <w:r>
              <w:t>Recall</w:t>
            </w:r>
          </w:p>
        </w:tc>
        <w:tc>
          <w:tcPr>
            <w:tcW w:type="dxa" w:w="1728"/>
          </w:tcPr>
          <w:p>
            <w:r>
              <w:t>Precision</w:t>
            </w:r>
          </w:p>
        </w:tc>
        <w:tc>
          <w:tcPr>
            <w:tcW w:type="dxa" w:w="1728"/>
          </w:tcPr>
          <w:p>
            <w:r>
              <w:t>F1-Score</w:t>
            </w:r>
          </w:p>
        </w:tc>
        <w:tc>
          <w:tcPr>
            <w:tcW w:type="dxa" w:w="1728"/>
          </w:tcPr>
          <w:p>
            <w:r>
              <w:t>Support</w:t>
            </w:r>
          </w:p>
        </w:tc>
      </w:tr>
      <w:tr>
        <w:tc>
          <w:tcPr>
            <w:tcW w:type="dxa" w:w="1728"/>
          </w:tcPr>
          <w:p>
            <w:r>
              <w:t>Large (M6.0+)</w:t>
            </w:r>
          </w:p>
        </w:tc>
        <w:tc>
          <w:tcPr>
            <w:tcW w:type="dxa" w:w="1728"/>
          </w:tcPr>
          <w:p>
            <w:r>
              <w:t>100%</w:t>
            </w:r>
          </w:p>
        </w:tc>
        <w:tc>
          <w:tcPr>
            <w:tcW w:type="dxa" w:w="1728"/>
          </w:tcPr>
          <w:p>
            <w:r>
              <w:t>100%</w:t>
            </w:r>
          </w:p>
        </w:tc>
        <w:tc>
          <w:tcPr>
            <w:tcW w:type="dxa" w:w="1728"/>
          </w:tcPr>
          <w:p>
            <w:r>
              <w:t>1.00</w:t>
            </w:r>
          </w:p>
        </w:tc>
        <w:tc>
          <w:tcPr>
            <w:tcW w:type="dxa" w:w="1728"/>
          </w:tcPr>
          <w:p>
            <w:r>
              <w:t>45</w:t>
            </w:r>
          </w:p>
        </w:tc>
      </w:tr>
      <w:tr>
        <w:tc>
          <w:tcPr>
            <w:tcW w:type="dxa" w:w="1728"/>
          </w:tcPr>
          <w:p>
            <w:r>
              <w:t>Normal (2025)</w:t>
            </w:r>
          </w:p>
        </w:tc>
        <w:tc>
          <w:tcPr>
            <w:tcW w:type="dxa" w:w="1728"/>
          </w:tcPr>
          <w:p>
            <w:r>
              <w:t>86%</w:t>
            </w:r>
          </w:p>
        </w:tc>
        <w:tc>
          <w:tcPr>
            <w:tcW w:type="dxa" w:w="1728"/>
          </w:tcPr>
          <w:p>
            <w:r>
              <w:t>56.6%</w:t>
            </w:r>
          </w:p>
        </w:tc>
        <w:tc>
          <w:tcPr>
            <w:tcW w:type="dxa" w:w="1728"/>
          </w:tcPr>
          <w:p>
            <w:r>
              <w:t>0.68</w:t>
            </w:r>
          </w:p>
        </w:tc>
        <w:tc>
          <w:tcPr>
            <w:tcW w:type="dxa" w:w="1728"/>
          </w:tcPr>
          <w:p>
            <w:r>
              <w:t>100</w:t>
            </w:r>
          </w:p>
        </w:tc>
      </w:tr>
      <w:tr>
        <w:tc>
          <w:tcPr>
            <w:tcW w:type="dxa" w:w="1728"/>
          </w:tcPr>
          <w:p>
            <w:r>
              <w:t>Moderate</w:t>
            </w:r>
          </w:p>
        </w:tc>
        <w:tc>
          <w:tcPr>
            <w:tcW w:type="dxa" w:w="1728"/>
          </w:tcPr>
          <w:p>
            <w:r>
              <w:t>12%</w:t>
            </w:r>
          </w:p>
        </w:tc>
        <w:tc>
          <w:tcPr>
            <w:tcW w:type="dxa" w:w="1728"/>
          </w:tcPr>
          <w:p>
            <w:r>
              <w:t>28.6%</w:t>
            </w:r>
          </w:p>
        </w:tc>
        <w:tc>
          <w:tcPr>
            <w:tcW w:type="dxa" w:w="1728"/>
          </w:tcPr>
          <w:p>
            <w:r>
              <w:t>0.17</w:t>
            </w:r>
          </w:p>
        </w:tc>
        <w:tc>
          <w:tcPr>
            <w:tcW w:type="dxa" w:w="1728"/>
          </w:tcPr>
          <w:p>
            <w:r>
              <w:t>50</w:t>
            </w:r>
          </w:p>
        </w:tc>
      </w:tr>
      <w:tr>
        <w:tc>
          <w:tcPr>
            <w:tcW w:type="dxa" w:w="1728"/>
          </w:tcPr>
          <w:p>
            <w:r>
              <w:t>Medium</w:t>
            </w:r>
          </w:p>
        </w:tc>
        <w:tc>
          <w:tcPr>
            <w:tcW w:type="dxa" w:w="1728"/>
          </w:tcPr>
          <w:p>
            <w:r>
              <w:t>12.5%</w:t>
            </w:r>
          </w:p>
        </w:tc>
        <w:tc>
          <w:tcPr>
            <w:tcW w:type="dxa" w:w="1728"/>
          </w:tcPr>
          <w:p>
            <w:r>
              <w:t>44.4%</w:t>
            </w:r>
          </w:p>
        </w:tc>
        <w:tc>
          <w:tcPr>
            <w:tcW w:type="dxa" w:w="1728"/>
          </w:tcPr>
          <w:p>
            <w:r>
              <w:t>0.19</w:t>
            </w:r>
          </w:p>
        </w:tc>
        <w:tc>
          <w:tcPr>
            <w:tcW w:type="dxa" w:w="1728"/>
          </w:tcPr>
          <w:p>
            <w:r>
              <w:t>32</w:t>
            </w:r>
          </w:p>
        </w:tc>
      </w:tr>
    </w:tbl>
    <w:p>
      <w:pPr>
        <w:pStyle w:val="Heading1"/>
      </w:pPr>
      <w:r>
        <w:t>4. Conclusion</w:t>
      </w:r>
    </w:p>
    <w:p>
      <w:r>
        <w:t>Hierarchical deep learning combined with spectral homogenization provide a robust solution for automated seismic alert systems. Achieving 100% recall for Large events establishes a new standard for Indonesia's earthquake early warning infrastructure.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