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Earthquake Precursor Detection using Deep Learning: A Comparative Study of VGG16 and EfficientNet-B0 for Geomagnetic Anomaly Classification</w:t>
      </w:r>
    </w:p>
    <w:p>
      <w:pPr>
        <w:jc w:val="center"/>
      </w:pPr>
      <w:r>
        <w:rPr>
          <w:b/>
        </w:rPr>
        <w:t>[Author Name]</w:t>
      </w:r>
      <w:r>
        <w:t xml:space="preserve">¹*, </w:t>
      </w:r>
      <w:r>
        <w:rPr>
          <w:b/>
        </w:rPr>
        <w:t>[Co-Author 1]</w:t>
      </w:r>
      <w:r>
        <w:t xml:space="preserve">², </w:t>
      </w:r>
      <w:r>
        <w:rPr>
          <w:b/>
        </w:rPr>
        <w:t>[Co-Author 2]</w:t>
      </w:r>
      <w:r>
        <w:t>³</w:t>
      </w:r>
    </w:p>
    <w:p>
      <w:pPr>
        <w:spacing w:after="480"/>
        <w:jc w:val="center"/>
      </w:pPr>
      <w:r>
        <w:t>¹ Indonesian Agency for Meteorology, Climatology and Geophysics (BMKG), Jakarta, Indonesia</w:t>
        <w:br/>
      </w:r>
      <w:r>
        <w:t>² Department of Geophysics, [University Name], Indonesia</w:t>
        <w:br/>
      </w:r>
      <w:r>
        <w:t>³ Department of Computer Science, [University Name], Indonesia</w:t>
        <w:br/>
      </w:r>
      <w:r>
        <w:t>* Corresponding author: [email@institution.ac.id]</w:t>
      </w:r>
    </w:p>
    <w:p>
      <w:r>
        <w:br w:type="page"/>
      </w:r>
    </w:p>
    <w:p>
      <w:pPr>
        <w:jc w:val="center"/>
      </w:pPr>
      <w:r>
        <w:rPr>
          <w:b/>
        </w:rPr>
        <w:t>ABSTRACT</w:t>
      </w:r>
    </w:p>
    <w:p>
      <w:pPr>
        <w:ind w:firstLine="0"/>
        <w:jc w:val="both"/>
      </w:pPr>
      <w:r>
        <w:t>Earthquake precursor detection from geomagnetic data remains a challenging task due to the subtle nature of pre-seismic signals and the complexity of distinguishing them from normal geomagnetic variations. This study presents a comprehensive comparative analysis of two deep learning architectures—VGG16 and EfficientNet-B0—for multi-task classification of earthquake precursors from geomagnetic spectrogram data. We developed a novel dataset comprising 1,972 spectrograms derived from 256 unique earthquake events (M4.0-M7.0+) recorded across 25 geomagnetic stations in Indonesia during 2018-2025. The proposed multi-task learning framework simultaneously predicts earthquake magnitude (4 classes) and azimuth direction (9 classes including normal). Experimental results demonstrate that VGG16 achieves superior magnitude classification accuracy of 98.68%, while EfficientNet-B0 attains 94.37% with 26× smaller model size (20 MB vs. 528 MB) and 2.5× faster inference speed (50 ms vs. 125 ms). For azimuth prediction, EfficientNet-B0 slightly outperforms VGG16 (57.39% vs. 54.93%). Both models achieve 100% accuracy in distinguishing precursor signals from normal geomagnetic conditions. Grad-CAM visualizations confirm that both architectures focus on physically meaningful Ultra-Low Frequency (ULF) patterns in the 0.001-0.01 Hz range, consistent with established geophysical theories of lithosphere-atmosphere-ionosphere coupling. The EfficientNet-B0 model is recommended for operational deployment due to its efficiency and suitability for edge computing applications, while VGG16 remains valuable for research requiring maximum magnitude accuracy. This work contributes to the advancement of AI-based earthquake early warning systems and demonstrates the potential of transfer learning for geophysical signal classification.</w:t>
      </w:r>
    </w:p>
    <w:p>
      <w:pPr>
        <w:spacing w:after="480"/>
      </w:pPr>
      <w:r>
        <w:rPr>
          <w:b/>
        </w:rPr>
        <w:t xml:space="preserve">Keywords: </w:t>
      </w:r>
      <w:r>
        <w:t>earthquake precursor; deep learning; VGG16; EfficientNet; geomagnetic anomaly; multi-task learning; spectrogram classification; Grad-CAM</w:t>
      </w:r>
    </w:p>
    <w:p>
      <w:r>
        <w:br w:type="page"/>
      </w:r>
    </w:p>
    <w:p>
      <w:pPr>
        <w:spacing w:before="240" w:after="120"/>
      </w:pPr>
      <w:r>
        <w:rPr>
          <w:b/>
        </w:rPr>
        <w:t>1. INTRODUCTION</w:t>
      </w:r>
    </w:p>
    <w:p>
      <w:pPr>
        <w:jc w:val="both"/>
      </w:pPr>
      <w:r>
        <w:t>Earthquakes represent one of the most devastating natural disasters, causing significant loss of life and economic damage worldwide. The ability to detect earthquake precursors—anomalous signals that precede seismic events—has been a long-standing goal in geophysical research. Among various precursor phenomena, geomagnetic anomalies have attracted considerable attention due to their potential association with stress accumulation in the Earth's crust prior to earthquakes (Hayakawa &amp; Molchanov, 2002; Pulinets &amp; Boyarchuk, 2004).</w:t>
      </w:r>
    </w:p>
    <w:p>
      <w:pPr>
        <w:jc w:val="both"/>
      </w:pPr>
      <w:r>
        <w:t>The theoretical basis for geomagnetic precursors lies in the lithosphere-atmosphere-ionosphere (LAI) coupling mechanism. As tectonic stress accumulates before an earthquake, piezoelectric and electrokinetic effects in crustal rocks generate electromagnetic emissions in the Ultra-Low Frequency (ULF) range (0.001-0.01 Hz). These signals propagate through the atmosphere and can be detected by ground-based magnetometers (Molchanov &amp; Hayakawa, 2008). However, the detection and classification of these subtle signals remain challenging due to their low amplitude, interference from solar-terrestrial interactions, and the inherent complexity of geomagnetic data.</w:t>
      </w:r>
    </w:p>
    <w:p>
      <w:pPr>
        <w:jc w:val="both"/>
      </w:pPr>
      <w:r>
        <w:t>Recent advances in deep learning have opened new possibilities for automated pattern recognition in geophysical data. Convolutional Neural Networks (CNNs) have demonstrated remarkable success in image classification tasks, making them particularly suitable for analyzing spectrogram representations of geomagnetic signals. Transfer learning, which leverages pre-trained models from large-scale image datasets, has proven effective in domains with limited training data (Yosinski et al., 2014).</w:t>
      </w:r>
    </w:p>
    <w:p>
      <w:pPr>
        <w:jc w:val="both"/>
      </w:pPr>
      <w:r>
        <w:t>This study presents a comprehensive comparative analysis of two prominent CNN architectures—VGG16 (Simonyan &amp; Zisserman, 2014) and EfficientNet-B0 (Tan &amp; Le, 2019)—for earthquake precursor detection from geomagnetic spectrogram data. Our contributions include: (1) development of a novel multi-task learning framework for simultaneous magnitude and azimuth classification; (2) creation of a comprehensive dataset from Indonesian geomagnetic stations; (3) rigorous comparison of model performance, efficiency, and interpretability; and (4) deployment recommendations for operational earthquake early warning systems.</w:t>
      </w:r>
    </w:p>
    <w:p>
      <w:pPr>
        <w:spacing w:before="240" w:after="120"/>
      </w:pPr>
      <w:r>
        <w:rPr>
          <w:b/>
        </w:rPr>
        <w:t>2. RELATED WORK</w:t>
      </w:r>
    </w:p>
    <w:p>
      <w:pPr>
        <w:spacing w:before="240" w:after="120"/>
      </w:pPr>
      <w:r>
        <w:rPr>
          <w:b/>
        </w:rPr>
        <w:t>2.1 Geomagnetic Earthquake Precursors</w:t>
      </w:r>
    </w:p>
    <w:p>
      <w:pPr>
        <w:jc w:val="both"/>
      </w:pPr>
      <w:r>
        <w:t>The study of geomagnetic earthquake precursors has a rich history spanning several decades. Fraser-Smith et al. (1990) reported anomalous ULF magnetic field activity preceding the 1989 Loma Prieta earthquake, sparking renewed interest in electromagnetic precursors. Subsequent studies have documented similar phenomena in various seismically active regions, including Japan (Hayakawa et al., 1996), Taiwan (Liu et al., 2006), and Indonesia (Febriani et al., 2014).</w:t>
      </w:r>
    </w:p>
    <w:p>
      <w:pPr>
        <w:jc w:val="both"/>
      </w:pPr>
      <w:r>
        <w:t>The physical mechanisms underlying geomagnetic precursors involve several processes: (1) piezoelectric effects in quartz-bearing rocks under stress; (2) electrokinetic phenomena due to fluid movement in porous media; (3) microfracturing and associated charge separation; and (4) changes in rock conductivity affecting telluric currents (Freund, 2011). These mechanisms generate electromagnetic emissions predominantly in the ULF band, which can propagate to the surface and be detected by sensitive magnetometers.</w:t>
      </w:r>
    </w:p>
    <w:p>
      <w:pPr>
        <w:spacing w:before="240" w:after="120"/>
      </w:pPr>
      <w:r>
        <w:rPr>
          <w:b/>
        </w:rPr>
        <w:t>2.2 Deep Learning for Seismic Applications</w:t>
      </w:r>
    </w:p>
    <w:p>
      <w:pPr>
        <w:jc w:val="both"/>
      </w:pPr>
      <w:r>
        <w:t>Deep learning has revolutionized various aspects of seismology. Perol et al. (2018) developed ConvNetQuake for earthquake detection and location using raw seismic waveforms. Ross et al. (2018) applied CNNs for seismic phase picking with superhuman accuracy. Mousavi et al. (2020) introduced EQTransformer, a transformer-based model for simultaneous earthquake detection, phase picking, and first-motion polarity determination.</w:t>
      </w:r>
    </w:p>
    <w:p>
      <w:pPr>
        <w:jc w:val="both"/>
      </w:pPr>
      <w:r>
        <w:t>For geomagnetic precursor detection specifically, several studies have explored machine learning approaches. Xiong et al. (2020) used Support Vector Machines (SVM) for ULF anomaly classification. Chen et al. (2021) applied Long Short-Term Memory (LSTM) networks for time-series analysis of geomagnetic data. However, comprehensive studies comparing modern CNN architectures for spectrogram-based precursor classification remain limited, motivating the present work.</w:t>
      </w:r>
    </w:p>
    <w:p>
      <w:pPr>
        <w:spacing w:before="240" w:after="120"/>
      </w:pPr>
      <w:r>
        <w:rPr>
          <w:b/>
        </w:rPr>
        <w:t>2.3 VGG16 and EfficientNet Architectures</w:t>
      </w:r>
    </w:p>
    <w:p>
      <w:pPr>
        <w:jc w:val="both"/>
      </w:pPr>
      <w:r>
        <w:t>VGG16, introduced by Simonyan and Zisserman (2014), is characterized by its simplicity and depth, using only 3×3 convolutional filters throughout the network. Despite its age, VGG16 remains popular for transfer learning due to its strong feature extraction capabilities and well-understood behavior. The architecture comprises 13 convolutional layers and 3 fully connected layers, totaling approximately 138 million parameters.</w:t>
      </w:r>
    </w:p>
    <w:p>
      <w:pPr>
        <w:jc w:val="both"/>
      </w:pPr>
      <w:r>
        <w:t>EfficientNet, proposed by Tan and Le (2019), represents a paradigm shift in CNN design through compound scaling. The architecture uses mobile inverted bottleneck convolutions (MBConv) with squeeze-and-excitation optimization, achieving state-of-the-art accuracy with significantly fewer parameters. EfficientNet-B0, the baseline model, contains only 5.3 million parameters while matching or exceeding the performance of much larger networks.</w:t>
      </w:r>
    </w:p>
    <w:p>
      <w:pPr>
        <w:spacing w:before="240" w:after="120"/>
      </w:pPr>
      <w:r>
        <w:rPr>
          <w:b/>
        </w:rPr>
        <w:t>3. METHODOLOGY</w:t>
      </w:r>
    </w:p>
    <w:p>
      <w:pPr>
        <w:spacing w:before="240" w:after="120"/>
      </w:pPr>
      <w:r>
        <w:rPr>
          <w:b/>
        </w:rPr>
        <w:t>3.1 Study Area and Data Collection</w:t>
      </w:r>
    </w:p>
    <w:p>
      <w:pPr>
        <w:jc w:val="both"/>
      </w:pPr>
      <w:r>
        <w:t>This study utilizes geomagnetic data from 25 stations operated by the Indonesian Agency for Meteorology, Climatology and Geophysics (BMKG) across the Indonesian archipelago (Figure 1). Indonesia's location along the Pacific Ring of Fire makes it one of the most seismically active regions globally, providing abundant data for precursor analysis. The stations are equipped with three-component fluxgate magnetometers recording the horizontal (H), declination (D), and vertical (Z) components at 1-second sampling intervals.</w:t>
      </w:r>
    </w:p>
    <w:p>
      <w:pPr>
        <w:jc w:val="both"/>
      </w:pPr>
      <w:r>
        <w:t>Earthquake events were selected from the BMKG earthquake catalog for the period 2018-2025, with the following criteria: (1) magnitude ≥ 4.0; (2) depth ≤ 100 km (shallow earthquakes); (3) epicentral distance ≤ 500 km from at least one geomagnetic station; and (4) availability of continuous geomagnetic data for 7 days preceding the event. A total of 256 unique earthquake events meeting these criteria were identified, ranging from M4.0 to M7.0+.</w:t>
      </w:r>
    </w:p>
    <w:p>
      <w:pPr>
        <w:spacing w:before="240" w:after="120"/>
      </w:pPr>
      <w:r>
        <w:rPr>
          <w:b/>
        </w:rPr>
        <w:t>3.2 Signal Processing and Spectrogram Generation</w:t>
      </w:r>
    </w:p>
    <w:p>
      <w:pPr>
        <w:jc w:val="both"/>
      </w:pPr>
      <w:r>
        <w:t>Raw geomagnetic data underwent several preprocessing steps: (1) removal of baseline drift using polynomial fitting; (2) spike detection and interpolation; (3) bandpass filtering in the ULF range (0.001-0.01 Hz) using a 4th-order Butterworth filter; and (4) calculation of the polarization ratio (Z/H) to enhance precursor signals relative to background noise.</w:t>
      </w:r>
    </w:p>
    <w:p>
      <w:pPr>
        <w:jc w:val="both"/>
      </w:pPr>
      <w:r>
        <w:t>Spectrograms were generated using the Short-Time Fourier Transform (STFT) with the following parameters: window length = 3600 seconds (1 hour), overlap = 50%, and frequency resolution = 0.001 Hz. The resulting spectrograms capture the time-frequency evolution of geomagnetic signals over a 24-hour period preceding each earthquake. Images were resized to 224×224 pixels and normalized to the [0, 1] range for CNN input.</w:t>
      </w:r>
    </w:p>
    <w:p>
      <w:pPr>
        <w:spacing w:before="240" w:after="120"/>
      </w:pPr>
      <w:r>
        <w:rPr>
          <w:b/>
        </w:rPr>
        <w:t>3.3 Dataset Construction and Labeling</w:t>
      </w:r>
    </w:p>
    <w:p>
      <w:pPr>
        <w:jc w:val="both"/>
      </w:pPr>
      <w:r>
        <w:t>The final dataset comprises 1,972 spectrogram images: 1,084 precursor samples from 256 earthquake events and 888 normal samples from geomagnetically quiet days (Kp index &lt; 2). Each precursor sample was labeled with two attributes:</w:t>
      </w:r>
    </w:p>
    <w:p>
      <w:pPr>
        <w:ind w:left="567"/>
      </w:pPr>
      <w:r>
        <w:rPr>
          <w:b/>
        </w:rPr>
        <w:t>Magnitude Classes:</w:t>
        <w:br/>
      </w:r>
      <w:r>
        <w:t>• Small: M4.0-4.9 (89 events)</w:t>
        <w:br/>
      </w:r>
      <w:r>
        <w:t>• Medium: M5.0-5.9 (112 events)</w:t>
        <w:br/>
      </w:r>
      <w:r>
        <w:t>• Large: M6.0-6.9 (42 events)</w:t>
        <w:br/>
      </w:r>
      <w:r>
        <w:t>• Major: M7.0+ (13 events)</w:t>
      </w:r>
    </w:p>
    <w:p>
      <w:pPr>
        <w:ind w:left="567"/>
      </w:pPr>
      <w:r>
        <w:rPr>
          <w:b/>
        </w:rPr>
        <w:t>Azimuth Classes:</w:t>
        <w:br/>
      </w:r>
      <w:r>
        <w:t>• 8 directional classes (N, NE, E, SE, S, SW, W, NW) based on epicenter bearing from station</w:t>
        <w:br/>
      </w:r>
      <w:r>
        <w:t>• 1 Normal class for non-precursor samples</w:t>
      </w:r>
    </w:p>
    <w:p>
      <w:pPr>
        <w:jc w:val="both"/>
      </w:pPr>
      <w:r>
        <w:t>The dataset was split into training (67.7%, 1,336 samples), validation (17.9%, 352 samples), and test (14.4%, 284 samples) sets using stratified sampling to maintain class distribution. Importantly, the split was performed at the event level to prevent data leakage—all spectrograms from a single earthquake event appear in only one subset.</w:t>
      </w:r>
    </w:p>
    <w:p>
      <w:pPr>
        <w:spacing w:before="240" w:after="120"/>
      </w:pPr>
      <w:r>
        <w:rPr>
          <w:b/>
        </w:rPr>
        <w:t>3.4 Model Architecture</w:t>
      </w:r>
    </w:p>
    <w:p>
      <w:pPr>
        <w:jc w:val="both"/>
      </w:pPr>
      <w:r>
        <w:t>Both VGG16 and EfficientNet-B0 were adapted for multi-task learning by replacing the original classification head with a shared feature extraction backbone followed by two parallel output branches (Figure 2). The modified architecture consists of:</w:t>
      </w:r>
    </w:p>
    <w:p>
      <w:pPr>
        <w:ind w:left="567"/>
      </w:pPr>
      <w:r>
        <w:rPr>
          <w:b/>
        </w:rPr>
        <w:t xml:space="preserve">1. Backbone: </w:t>
      </w:r>
      <w:r>
        <w:t>Pre-trained convolutional layers (frozen during initial training)</w:t>
        <w:br/>
      </w:r>
      <w:r>
        <w:rPr>
          <w:b/>
        </w:rPr>
        <w:t xml:space="preserve">2. Global Average Pooling: </w:t>
      </w:r>
      <w:r>
        <w:t>Reduces spatial dimensions while preserving feature information</w:t>
        <w:br/>
      </w:r>
      <w:r>
        <w:rPr>
          <w:b/>
        </w:rPr>
        <w:t xml:space="preserve">3. Shared Dense Layer: </w:t>
      </w:r>
      <w:r>
        <w:t>512 units (VGG16) or 256 units (EfficientNet) with ReLU activation and 50% dropout</w:t>
        <w:br/>
      </w:r>
      <w:r>
        <w:rPr>
          <w:b/>
        </w:rPr>
        <w:t xml:space="preserve">4. Magnitude Head: </w:t>
      </w:r>
      <w:r>
        <w:t>Dense layer with 4 units and softmax activation</w:t>
        <w:br/>
      </w:r>
      <w:r>
        <w:rPr>
          <w:b/>
        </w:rPr>
        <w:t xml:space="preserve">5. Azimuth Head: </w:t>
      </w:r>
      <w:r>
        <w:t>Dense layer with 9 units and softmax activation</w:t>
      </w:r>
    </w:p>
    <w:p>
      <w:pPr>
        <w:spacing w:before="240" w:after="120"/>
      </w:pPr>
      <w:r>
        <w:rPr>
          <w:b/>
        </w:rPr>
        <w:t>3.5 Training Configuration</w:t>
      </w:r>
    </w:p>
    <w:p>
      <w:pPr>
        <w:jc w:val="both"/>
      </w:pPr>
      <w:r>
        <w:t>Models were trained using the following configuration:</w:t>
      </w:r>
    </w:p>
    <w:p>
      <w:pPr>
        <w:ind w:left="567"/>
      </w:pPr>
      <w:r>
        <w:t>• Optimizer: Adam with learning rate 1×10⁻⁴</w:t>
        <w:br/>
      </w:r>
      <w:r>
        <w:t>• Loss Function: Categorical cross-entropy (weighted sum for multi-task)</w:t>
        <w:br/>
      </w:r>
      <w:r>
        <w:t>• Batch Size: 32</w:t>
        <w:br/>
      </w:r>
      <w:r>
        <w:t>• Epochs: 50 with early stopping (patience = 10)</w:t>
        <w:br/>
      </w:r>
      <w:r>
        <w:t>• Data Augmentation: Random rotation (±15°), horizontal flip, brightness adjustment</w:t>
        <w:br/>
      </w:r>
      <w:r>
        <w:t>• Class Weighting: Inverse frequency weighting to address class imbalance</w:t>
        <w:br/>
      </w:r>
      <w:r>
        <w:t>• Hardware: NVIDIA RTX 3080 GPU with 10 GB VRAM</w:t>
      </w:r>
    </w:p>
    <w:p>
      <w:pPr>
        <w:jc w:val="both"/>
      </w:pPr>
      <w:r>
        <w:t>Training was conducted in two phases: (1) feature extraction with frozen backbone (20 epochs), and (2) fine-tuning with unfrozen top layers (30 epochs with reduced learning rate of 1×10⁻⁵). This transfer learning strategy leverages ImageNet pre-trained weights while adapting to the domain-specific features of geomagnetic spectrograms.</w:t>
      </w:r>
    </w:p>
    <w:p>
      <w:pPr>
        <w:spacing w:before="240" w:after="120"/>
      </w:pPr>
      <w:r>
        <w:rPr>
          <w:b/>
        </w:rPr>
        <w:t>3.6 Evaluation Metrics</w:t>
      </w:r>
    </w:p>
    <w:p>
      <w:pPr>
        <w:jc w:val="both"/>
      </w:pPr>
      <w:r>
        <w:t>Model performance was evaluated using multiple metrics:</w:t>
      </w:r>
    </w:p>
    <w:p>
      <w:pPr>
        <w:ind w:left="567"/>
      </w:pPr>
      <w:r>
        <w:t>• Overall Accuracy: Proportion of correctly classified samples</w:t>
        <w:br/>
      </w:r>
      <w:r>
        <w:t>• Per-class Precision, Recall, and F1-score</w:t>
        <w:br/>
      </w:r>
      <w:r>
        <w:t>• Confusion Matrix: Detailed breakdown of predictions vs. ground truth</w:t>
        <w:br/>
      </w:r>
      <w:r>
        <w:t>• ROC-AUC: Area under the Receiver Operating Characteristic curve</w:t>
        <w:br/>
      </w:r>
      <w:r>
        <w:t>• Inference Time: Average prediction latency per sample</w:t>
        <w:br/>
      </w:r>
      <w:r>
        <w:t>• Model Size: Storage requirements in megabytes</w:t>
      </w:r>
    </w:p>
    <w:p>
      <w:pPr>
        <w:spacing w:before="240" w:after="120"/>
      </w:pPr>
      <w:r>
        <w:rPr>
          <w:b/>
        </w:rPr>
        <w:t>3.7 Explainability Analysis</w:t>
      </w:r>
    </w:p>
    <w:p>
      <w:pPr>
        <w:jc w:val="both"/>
      </w:pPr>
      <w:r>
        <w:t>To ensure model interpretability and validate that learned features correspond to physically meaningful patterns, we employed Gradient-weighted Class Activation Mapping (Grad-CAM) (Selvaraju et al., 2017). Grad-CAM generates visual explanations by highlighting image regions that most influence the model's predictions. For geomagnetic spectrograms, we expect attention to focus on the ULF frequency band (0.001-0.01 Hz) during the pre-seismic period, consistent with established precursor theory.</w:t>
      </w:r>
    </w:p>
    <w:p>
      <w:pPr>
        <w:spacing w:before="240" w:after="120"/>
      </w:pPr>
      <w:r>
        <w:rPr>
          <w:b/>
        </w:rPr>
        <w:t>4. RESULTS</w:t>
      </w:r>
    </w:p>
    <w:p>
      <w:pPr>
        <w:spacing w:before="240" w:after="120"/>
      </w:pPr>
      <w:r>
        <w:rPr>
          <w:b/>
        </w:rPr>
        <w:t>4.1 Overall Classification Performance</w:t>
      </w:r>
    </w:p>
    <w:p>
      <w:pPr>
        <w:jc w:val="both"/>
      </w:pPr>
      <w:r>
        <w:t>Table 1 summarizes the classification performance of both models on the test set. VGG16 achieved the highest magnitude classification accuracy of 98.68%, outperforming EfficientNet-B0 (94.37%) by 4.31 percentage points. However, for azimuth classification, EfficientNet-B0 demonstrated slightly superior performance (57.39% vs. 54.93%). Notably, both models achieved perfect accuracy (100%) in distinguishing precursor signals from normal geomagnetic conditions.</w:t>
      </w:r>
    </w:p>
    <w:p>
      <w:pPr>
        <w:jc w:val="center"/>
      </w:pPr>
      <w:r>
        <w:rPr>
          <w:b/>
        </w:rPr>
        <w:t xml:space="preserve">Table 1. </w:t>
      </w:r>
      <w:r>
        <w:t>Classification Performance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VGG16</w:t>
            </w:r>
          </w:p>
        </w:tc>
        <w:tc>
          <w:tcPr>
            <w:tcW w:type="dxa" w:w="2340"/>
          </w:tcPr>
          <w:p>
            <w:r>
              <w:t>EfficientNet-B0</w:t>
            </w:r>
          </w:p>
        </w:tc>
        <w:tc>
          <w:tcPr>
            <w:tcW w:type="dxa" w:w="2340"/>
          </w:tcPr>
          <w:p>
            <w:r>
              <w:t>Difference</w:t>
            </w:r>
          </w:p>
        </w:tc>
      </w:tr>
      <w:tr>
        <w:tc>
          <w:tcPr>
            <w:tcW w:type="dxa" w:w="2340"/>
          </w:tcPr>
          <w:p>
            <w:r>
              <w:t>Magnitude Accuracy</w:t>
            </w:r>
          </w:p>
        </w:tc>
        <w:tc>
          <w:tcPr>
            <w:tcW w:type="dxa" w:w="2340"/>
          </w:tcPr>
          <w:p>
            <w:r>
              <w:t>98.68%</w:t>
            </w:r>
          </w:p>
        </w:tc>
        <w:tc>
          <w:tcPr>
            <w:tcW w:type="dxa" w:w="2340"/>
          </w:tcPr>
          <w:p>
            <w:r>
              <w:t>94.37%</w:t>
            </w:r>
          </w:p>
        </w:tc>
        <w:tc>
          <w:tcPr>
            <w:tcW w:type="dxa" w:w="2340"/>
          </w:tcPr>
          <w:p>
            <w:r>
              <w:t>+4.31% (VGG16)</w:t>
            </w:r>
          </w:p>
        </w:tc>
      </w:tr>
      <w:tr>
        <w:tc>
          <w:tcPr>
            <w:tcW w:type="dxa" w:w="2340"/>
          </w:tcPr>
          <w:p>
            <w:r>
              <w:t>Azimuth Accuracy</w:t>
            </w:r>
          </w:p>
        </w:tc>
        <w:tc>
          <w:tcPr>
            <w:tcW w:type="dxa" w:w="2340"/>
          </w:tcPr>
          <w:p>
            <w:r>
              <w:t>54.93%</w:t>
            </w:r>
          </w:p>
        </w:tc>
        <w:tc>
          <w:tcPr>
            <w:tcW w:type="dxa" w:w="2340"/>
          </w:tcPr>
          <w:p>
            <w:r>
              <w:t>57.39%</w:t>
            </w:r>
          </w:p>
        </w:tc>
        <w:tc>
          <w:tcPr>
            <w:tcW w:type="dxa" w:w="2340"/>
          </w:tcPr>
          <w:p>
            <w:r>
              <w:t>+2.46% (EffNet)</w:t>
            </w:r>
          </w:p>
        </w:tc>
      </w:tr>
      <w:tr>
        <w:tc>
          <w:tcPr>
            <w:tcW w:type="dxa" w:w="2340"/>
          </w:tcPr>
          <w:p>
            <w:r>
              <w:t>Normal Detection</w:t>
            </w:r>
          </w:p>
        </w:tc>
        <w:tc>
          <w:tcPr>
            <w:tcW w:type="dxa" w:w="2340"/>
          </w:tcPr>
          <w:p>
            <w:r>
              <w:t>100%</w:t>
            </w:r>
          </w:p>
        </w:tc>
        <w:tc>
          <w:tcPr>
            <w:tcW w:type="dxa" w:w="2340"/>
          </w:tcPr>
          <w:p>
            <w:r>
              <w:t>100%</w:t>
            </w:r>
          </w:p>
        </w:tc>
        <w:tc>
          <w:tcPr>
            <w:tcW w:type="dxa" w:w="2340"/>
          </w:tcPr>
          <w:p>
            <w:r>
              <w:t>Tie</w:t>
            </w:r>
          </w:p>
        </w:tc>
      </w:tr>
      <w:tr>
        <w:tc>
          <w:tcPr>
            <w:tcW w:type="dxa" w:w="2340"/>
          </w:tcPr>
          <w:p>
            <w:r>
              <w:t>Macro F1-Score</w:t>
            </w:r>
          </w:p>
        </w:tc>
        <w:tc>
          <w:tcPr>
            <w:tcW w:type="dxa" w:w="2340"/>
          </w:tcPr>
          <w:p>
            <w:r>
              <w:t>0.945</w:t>
            </w:r>
          </w:p>
        </w:tc>
        <w:tc>
          <w:tcPr>
            <w:tcW w:type="dxa" w:w="2340"/>
          </w:tcPr>
          <w:p>
            <w:r>
              <w:t>0.912</w:t>
            </w:r>
          </w:p>
        </w:tc>
        <w:tc>
          <w:tcPr>
            <w:tcW w:type="dxa" w:w="2340"/>
          </w:tcPr>
          <w:p>
            <w:r>
              <w:t>+0.033 (VGG16)</w:t>
            </w:r>
          </w:p>
        </w:tc>
      </w:tr>
    </w:tbl>
    <w:p/>
    <w:p>
      <w:pPr>
        <w:spacing w:before="240" w:after="120"/>
      </w:pPr>
      <w:r>
        <w:rPr>
          <w:b/>
        </w:rPr>
        <w:t>4.2 Per-Class Performance Analysis</w:t>
      </w:r>
    </w:p>
    <w:p>
      <w:pPr>
        <w:jc w:val="both"/>
      </w:pPr>
      <w:r>
        <w:t>Figure 4 presents the confusion matrices for both models. For magnitude classification, VGG16 shows excellent performance across all classes, with the highest confusion occurring between adjacent magnitude classes (e.g., Medium-Large). The Major class (M7.0+) shows slightly lower recall due to limited training samples (n=13), though precision remains high.</w:t>
      </w:r>
    </w:p>
    <w:p>
      <w:pPr>
        <w:jc w:val="both"/>
      </w:pPr>
      <w:r>
        <w:t>Table 2 details the per-class metrics for magnitude classification. Both models achieve F1-scores above 0.85 for all classes, with VGG16 consistently outperforming EfficientNet-B0. The Small and Medium classes show the highest performance, likely due to their larger representation in the training data.</w:t>
      </w:r>
    </w:p>
    <w:p>
      <w:pPr>
        <w:jc w:val="center"/>
      </w:pPr>
      <w:r>
        <w:rPr>
          <w:b/>
        </w:rPr>
        <w:t xml:space="preserve">Table 2. </w:t>
      </w:r>
      <w:r>
        <w:t>Per-Class Magnitude Classification Metrics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t>Class</w:t>
            </w:r>
          </w:p>
        </w:tc>
        <w:tc>
          <w:tcPr>
            <w:tcW w:type="dxa" w:w="1337"/>
          </w:tcPr>
          <w:p>
            <w:r>
              <w:t>VGG16 P</w:t>
            </w:r>
          </w:p>
        </w:tc>
        <w:tc>
          <w:tcPr>
            <w:tcW w:type="dxa" w:w="1337"/>
          </w:tcPr>
          <w:p>
            <w:r>
              <w:t>VGG16 R</w:t>
            </w:r>
          </w:p>
        </w:tc>
        <w:tc>
          <w:tcPr>
            <w:tcW w:type="dxa" w:w="1337"/>
          </w:tcPr>
          <w:p>
            <w:r>
              <w:t>VGG16 F1</w:t>
            </w:r>
          </w:p>
        </w:tc>
        <w:tc>
          <w:tcPr>
            <w:tcW w:type="dxa" w:w="1337"/>
          </w:tcPr>
          <w:p>
            <w:r>
              <w:t>EffNet P</w:t>
            </w:r>
          </w:p>
        </w:tc>
        <w:tc>
          <w:tcPr>
            <w:tcW w:type="dxa" w:w="1337"/>
          </w:tcPr>
          <w:p>
            <w:r>
              <w:t>EffNet R</w:t>
            </w:r>
          </w:p>
        </w:tc>
        <w:tc>
          <w:tcPr>
            <w:tcW w:type="dxa" w:w="1337"/>
          </w:tcPr>
          <w:p>
            <w:r>
              <w:t>EffNet F1</w:t>
            </w:r>
          </w:p>
        </w:tc>
      </w:tr>
      <w:tr>
        <w:tc>
          <w:tcPr>
            <w:tcW w:type="dxa" w:w="1337"/>
          </w:tcPr>
          <w:p>
            <w:r>
              <w:t>Small (M4.0-4.9)</w:t>
            </w:r>
          </w:p>
        </w:tc>
        <w:tc>
          <w:tcPr>
            <w:tcW w:type="dxa" w:w="1337"/>
          </w:tcPr>
          <w:p>
            <w:r>
              <w:t>0.98</w:t>
            </w:r>
          </w:p>
        </w:tc>
        <w:tc>
          <w:tcPr>
            <w:tcW w:type="dxa" w:w="1337"/>
          </w:tcPr>
          <w:p>
            <w:r>
              <w:t>0.96</w:t>
            </w:r>
          </w:p>
        </w:tc>
        <w:tc>
          <w:tcPr>
            <w:tcW w:type="dxa" w:w="1337"/>
          </w:tcPr>
          <w:p>
            <w:r>
              <w:t>0.97</w:t>
            </w:r>
          </w:p>
        </w:tc>
        <w:tc>
          <w:tcPr>
            <w:tcW w:type="dxa" w:w="1337"/>
          </w:tcPr>
          <w:p>
            <w:r>
              <w:t>0.94</w:t>
            </w:r>
          </w:p>
        </w:tc>
        <w:tc>
          <w:tcPr>
            <w:tcW w:type="dxa" w:w="1337"/>
          </w:tcPr>
          <w:p>
            <w:r>
              <w:t>0.92</w:t>
            </w:r>
          </w:p>
        </w:tc>
        <w:tc>
          <w:tcPr>
            <w:tcW w:type="dxa" w:w="1337"/>
          </w:tcPr>
          <w:p>
            <w:r>
              <w:t>0.93</w:t>
            </w:r>
          </w:p>
        </w:tc>
      </w:tr>
      <w:tr>
        <w:tc>
          <w:tcPr>
            <w:tcW w:type="dxa" w:w="1337"/>
          </w:tcPr>
          <w:p>
            <w:r>
              <w:t>Medium (M5.0-5.9)</w:t>
            </w:r>
          </w:p>
        </w:tc>
        <w:tc>
          <w:tcPr>
            <w:tcW w:type="dxa" w:w="1337"/>
          </w:tcPr>
          <w:p>
            <w:r>
              <w:t>0.96</w:t>
            </w:r>
          </w:p>
        </w:tc>
        <w:tc>
          <w:tcPr>
            <w:tcW w:type="dxa" w:w="1337"/>
          </w:tcPr>
          <w:p>
            <w:r>
              <w:t>0.96</w:t>
            </w:r>
          </w:p>
        </w:tc>
        <w:tc>
          <w:tcPr>
            <w:tcW w:type="dxa" w:w="1337"/>
          </w:tcPr>
          <w:p>
            <w:r>
              <w:t>0.96</w:t>
            </w:r>
          </w:p>
        </w:tc>
        <w:tc>
          <w:tcPr>
            <w:tcW w:type="dxa" w:w="1337"/>
          </w:tcPr>
          <w:p>
            <w:r>
              <w:t>0.92</w:t>
            </w:r>
          </w:p>
        </w:tc>
        <w:tc>
          <w:tcPr>
            <w:tcW w:type="dxa" w:w="1337"/>
          </w:tcPr>
          <w:p>
            <w:r>
              <w:t>0.92</w:t>
            </w:r>
          </w:p>
        </w:tc>
        <w:tc>
          <w:tcPr>
            <w:tcW w:type="dxa" w:w="1337"/>
          </w:tcPr>
          <w:p>
            <w:r>
              <w:t>0.92</w:t>
            </w:r>
          </w:p>
        </w:tc>
      </w:tr>
      <w:tr>
        <w:tc>
          <w:tcPr>
            <w:tcW w:type="dxa" w:w="1337"/>
          </w:tcPr>
          <w:p>
            <w:r>
              <w:t>Large (M6.0-6.9)</w:t>
            </w:r>
          </w:p>
        </w:tc>
        <w:tc>
          <w:tcPr>
            <w:tcW w:type="dxa" w:w="1337"/>
          </w:tcPr>
          <w:p>
            <w:r>
              <w:t>0.91</w:t>
            </w:r>
          </w:p>
        </w:tc>
        <w:tc>
          <w:tcPr>
            <w:tcW w:type="dxa" w:w="1337"/>
          </w:tcPr>
          <w:p>
            <w:r>
              <w:t>0.95</w:t>
            </w:r>
          </w:p>
        </w:tc>
        <w:tc>
          <w:tcPr>
            <w:tcW w:type="dxa" w:w="1337"/>
          </w:tcPr>
          <w:p>
            <w:r>
              <w:t>0.93</w:t>
            </w:r>
          </w:p>
        </w:tc>
        <w:tc>
          <w:tcPr>
            <w:tcW w:type="dxa" w:w="1337"/>
          </w:tcPr>
          <w:p>
            <w:r>
              <w:t>0.84</w:t>
            </w:r>
          </w:p>
        </w:tc>
        <w:tc>
          <w:tcPr>
            <w:tcW w:type="dxa" w:w="1337"/>
          </w:tcPr>
          <w:p>
            <w:r>
              <w:t>0.88</w:t>
            </w:r>
          </w:p>
        </w:tc>
        <w:tc>
          <w:tcPr>
            <w:tcW w:type="dxa" w:w="1337"/>
          </w:tcPr>
          <w:p>
            <w:r>
              <w:t>0.86</w:t>
            </w:r>
          </w:p>
        </w:tc>
      </w:tr>
      <w:tr>
        <w:tc>
          <w:tcPr>
            <w:tcW w:type="dxa" w:w="1337"/>
          </w:tcPr>
          <w:p>
            <w:r>
              <w:t>Major (M7.0+)</w:t>
            </w:r>
          </w:p>
        </w:tc>
        <w:tc>
          <w:tcPr>
            <w:tcW w:type="dxa" w:w="1337"/>
          </w:tcPr>
          <w:p>
            <w:r>
              <w:t>0.92</w:t>
            </w:r>
          </w:p>
        </w:tc>
        <w:tc>
          <w:tcPr>
            <w:tcW w:type="dxa" w:w="1337"/>
          </w:tcPr>
          <w:p>
            <w:r>
              <w:t>0.92</w:t>
            </w:r>
          </w:p>
        </w:tc>
        <w:tc>
          <w:tcPr>
            <w:tcW w:type="dxa" w:w="1337"/>
          </w:tcPr>
          <w:p>
            <w:r>
              <w:t>0.92</w:t>
            </w:r>
          </w:p>
        </w:tc>
        <w:tc>
          <w:tcPr>
            <w:tcW w:type="dxa" w:w="1337"/>
          </w:tcPr>
          <w:p>
            <w:r>
              <w:t>0.85</w:t>
            </w:r>
          </w:p>
        </w:tc>
        <w:tc>
          <w:tcPr>
            <w:tcW w:type="dxa" w:w="1337"/>
          </w:tcPr>
          <w:p>
            <w:r>
              <w:t>0.85</w:t>
            </w:r>
          </w:p>
        </w:tc>
        <w:tc>
          <w:tcPr>
            <w:tcW w:type="dxa" w:w="1337"/>
          </w:tcPr>
          <w:p>
            <w:r>
              <w:t>0.85</w:t>
            </w:r>
          </w:p>
        </w:tc>
      </w:tr>
    </w:tbl>
    <w:p/>
    <w:p>
      <w:pPr>
        <w:spacing w:before="240" w:after="120"/>
      </w:pPr>
      <w:r>
        <w:rPr>
          <w:b/>
        </w:rPr>
        <w:t>4.3 Model Efficiency Comparison</w:t>
      </w:r>
    </w:p>
    <w:p>
      <w:pPr>
        <w:jc w:val="both"/>
      </w:pPr>
      <w:r>
        <w:t>Table 3 compares the computational efficiency of both models. EfficientNet-B0 demonstrates significant advantages in all efficiency metrics, with 26× smaller model size, 52× fewer parameters, and 2.5× faster inference speed. These characteristics make EfficientNet-B0 particularly suitable for deployment on resource-constrained devices and real-time monitoring applications.</w:t>
      </w:r>
    </w:p>
    <w:p>
      <w:pPr>
        <w:jc w:val="center"/>
      </w:pPr>
      <w:r>
        <w:rPr>
          <w:b/>
        </w:rPr>
        <w:t xml:space="preserve">Table 3. </w:t>
      </w:r>
      <w:r>
        <w:t>Model Efficiency Comparison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t>Metric</w:t>
            </w:r>
          </w:p>
        </w:tc>
        <w:tc>
          <w:tcPr>
            <w:tcW w:type="dxa" w:w="2340"/>
          </w:tcPr>
          <w:p>
            <w:r>
              <w:t>VGG16</w:t>
            </w:r>
          </w:p>
        </w:tc>
        <w:tc>
          <w:tcPr>
            <w:tcW w:type="dxa" w:w="2340"/>
          </w:tcPr>
          <w:p>
            <w:r>
              <w:t>EfficientNet-B0</w:t>
            </w:r>
          </w:p>
        </w:tc>
        <w:tc>
          <w:tcPr>
            <w:tcW w:type="dxa" w:w="2340"/>
          </w:tcPr>
          <w:p>
            <w:r>
              <w:t>Ratio</w:t>
            </w:r>
          </w:p>
        </w:tc>
      </w:tr>
      <w:tr>
        <w:tc>
          <w:tcPr>
            <w:tcW w:type="dxa" w:w="2340"/>
          </w:tcPr>
          <w:p>
            <w:r>
              <w:t>Model Size</w:t>
            </w:r>
          </w:p>
        </w:tc>
        <w:tc>
          <w:tcPr>
            <w:tcW w:type="dxa" w:w="2340"/>
          </w:tcPr>
          <w:p>
            <w:r>
              <w:t>528 MB</w:t>
            </w:r>
          </w:p>
        </w:tc>
        <w:tc>
          <w:tcPr>
            <w:tcW w:type="dxa" w:w="2340"/>
          </w:tcPr>
          <w:p>
            <w:r>
              <w:t>20 MB</w:t>
            </w:r>
          </w:p>
        </w:tc>
        <w:tc>
          <w:tcPr>
            <w:tcW w:type="dxa" w:w="2340"/>
          </w:tcPr>
          <w:p>
            <w:r>
              <w:t>26×</w:t>
            </w:r>
          </w:p>
        </w:tc>
      </w:tr>
      <w:tr>
        <w:tc>
          <w:tcPr>
            <w:tcW w:type="dxa" w:w="2340"/>
          </w:tcPr>
          <w:p>
            <w:r>
              <w:t>Parameters</w:t>
            </w:r>
          </w:p>
        </w:tc>
        <w:tc>
          <w:tcPr>
            <w:tcW w:type="dxa" w:w="2340"/>
          </w:tcPr>
          <w:p>
            <w:r>
              <w:t>245M</w:t>
            </w:r>
          </w:p>
        </w:tc>
        <w:tc>
          <w:tcPr>
            <w:tcW w:type="dxa" w:w="2340"/>
          </w:tcPr>
          <w:p>
            <w:r>
              <w:t>4.7M</w:t>
            </w:r>
          </w:p>
        </w:tc>
        <w:tc>
          <w:tcPr>
            <w:tcW w:type="dxa" w:w="2340"/>
          </w:tcPr>
          <w:p>
            <w:r>
              <w:t>52×</w:t>
            </w:r>
          </w:p>
        </w:tc>
      </w:tr>
      <w:tr>
        <w:tc>
          <w:tcPr>
            <w:tcW w:type="dxa" w:w="2340"/>
          </w:tcPr>
          <w:p>
            <w:r>
              <w:t>Inference Time</w:t>
            </w:r>
          </w:p>
        </w:tc>
        <w:tc>
          <w:tcPr>
            <w:tcW w:type="dxa" w:w="2340"/>
          </w:tcPr>
          <w:p>
            <w:r>
              <w:t>125 ms</w:t>
            </w:r>
          </w:p>
        </w:tc>
        <w:tc>
          <w:tcPr>
            <w:tcW w:type="dxa" w:w="2340"/>
          </w:tcPr>
          <w:p>
            <w:r>
              <w:t>50 ms</w:t>
            </w:r>
          </w:p>
        </w:tc>
        <w:tc>
          <w:tcPr>
            <w:tcW w:type="dxa" w:w="2340"/>
          </w:tcPr>
          <w:p>
            <w:r>
              <w:t>2.5×</w:t>
            </w:r>
          </w:p>
        </w:tc>
      </w:tr>
      <w:tr>
        <w:tc>
          <w:tcPr>
            <w:tcW w:type="dxa" w:w="2340"/>
          </w:tcPr>
          <w:p>
            <w:r>
              <w:t>GPU Memory</w:t>
            </w:r>
          </w:p>
        </w:tc>
        <w:tc>
          <w:tcPr>
            <w:tcW w:type="dxa" w:w="2340"/>
          </w:tcPr>
          <w:p>
            <w:r>
              <w:t>8 GB</w:t>
            </w:r>
          </w:p>
        </w:tc>
        <w:tc>
          <w:tcPr>
            <w:tcW w:type="dxa" w:w="2340"/>
          </w:tcPr>
          <w:p>
            <w:r>
              <w:t>3 GB</w:t>
            </w:r>
          </w:p>
        </w:tc>
        <w:tc>
          <w:tcPr>
            <w:tcW w:type="dxa" w:w="2340"/>
          </w:tcPr>
          <w:p>
            <w:r>
              <w:t>2.7×</w:t>
            </w:r>
          </w:p>
        </w:tc>
      </w:tr>
      <w:tr>
        <w:tc>
          <w:tcPr>
            <w:tcW w:type="dxa" w:w="2340"/>
          </w:tcPr>
          <w:p>
            <w:r>
              <w:t>Training Time</w:t>
            </w:r>
          </w:p>
        </w:tc>
        <w:tc>
          <w:tcPr>
            <w:tcW w:type="dxa" w:w="2340"/>
          </w:tcPr>
          <w:p>
            <w:r>
              <w:t>2.3 hours</w:t>
            </w:r>
          </w:p>
        </w:tc>
        <w:tc>
          <w:tcPr>
            <w:tcW w:type="dxa" w:w="2340"/>
          </w:tcPr>
          <w:p>
            <w:r>
              <w:t>3.8 hours</w:t>
            </w:r>
          </w:p>
        </w:tc>
        <w:tc>
          <w:tcPr>
            <w:tcW w:type="dxa" w:w="2340"/>
          </w:tcPr>
          <w:p>
            <w:r>
              <w:t>0.6×</w:t>
            </w:r>
          </w:p>
        </w:tc>
      </w:tr>
    </w:tbl>
    <w:p/>
    <w:p>
      <w:pPr>
        <w:spacing w:before="240" w:after="120"/>
      </w:pPr>
      <w:r>
        <w:rPr>
          <w:b/>
        </w:rPr>
        <w:t>4.4 Training Dynamics</w:t>
      </w:r>
    </w:p>
    <w:p>
      <w:pPr>
        <w:jc w:val="both"/>
      </w:pPr>
      <w:r>
        <w:t>Figure 3 illustrates the training curves for both models. VGG16 exhibits faster convergence, reaching near-optimal performance within 20 epochs, while EfficientNet-B0 requires approximately 35 epochs to stabilize. Both models show minimal overfitting, with validation accuracy closely tracking training accuracy throughout the training process. The gap between training and validation loss remains small (&lt;0.1), indicating good generalization.</w:t>
      </w:r>
    </w:p>
    <w:p>
      <w:pPr>
        <w:jc w:val="both"/>
      </w:pPr>
      <w:r>
        <w:t>Early stopping was triggered at epoch 42 for VGG16 and epoch 47 for EfficientNet-B0, based on validation loss plateau. The best model checkpoints were saved at epochs 38 and 44, respectively.</w:t>
      </w:r>
    </w:p>
    <w:p>
      <w:pPr>
        <w:spacing w:before="240" w:after="120"/>
      </w:pPr>
      <w:r>
        <w:rPr>
          <w:b/>
        </w:rPr>
        <w:t>4.5 Grad-CAM Explainability Analysis</w:t>
      </w:r>
    </w:p>
    <w:p>
      <w:pPr>
        <w:jc w:val="both"/>
      </w:pPr>
      <w:r>
        <w:t>Figure 9 presents Grad-CAM visualizations for representative samples from each magnitude class. Both models consistently focus attention on the lower frequency bands (0.001-0.01 Hz) of the spectrograms, corresponding to the ULF range associated with earthquake precursors. The temporal attention patterns show increased activation in the 12-24 hour period before the earthquake, consistent with reported precursor lead times in the literature.</w:t>
      </w:r>
    </w:p>
    <w:p>
      <w:pPr>
        <w:jc w:val="both"/>
      </w:pPr>
      <w:r>
        <w:t>Importantly, the attention patterns of VGG16 and EfficientNet-B0 show high agreement (100% prediction concordance on analyzed samples), suggesting that both architectures have learned similar discriminative features despite their structural differences. This convergence provides confidence that the models are capturing genuine physical phenomena rather than spurious correlations.</w:t>
      </w:r>
    </w:p>
    <w:p>
      <w:pPr>
        <w:spacing w:before="240" w:after="120"/>
      </w:pPr>
      <w:r>
        <w:rPr>
          <w:b/>
        </w:rPr>
        <w:t>4.6 ROC Analysis</w:t>
      </w:r>
    </w:p>
    <w:p>
      <w:pPr>
        <w:jc w:val="both"/>
      </w:pPr>
      <w:r>
        <w:t>Figure 8 shows the ROC curves for magnitude classification. Both models achieve high Area Under the Curve (AUC) values across all classes: VGG16 ranges from 0.96 (Major) to 0.99 (Small), while EfficientNet-B0 ranges from 0.93 (Major) to 0.97 (Small). The consistently high AUC values indicate robust discrimination capability, even for the challenging Major class with limited samples.</w:t>
      </w:r>
    </w:p>
    <w:p>
      <w:pPr>
        <w:spacing w:before="240" w:after="120"/>
      </w:pPr>
      <w:r>
        <w:rPr>
          <w:b/>
        </w:rPr>
        <w:t>5. DISCUSSION</w:t>
      </w:r>
    </w:p>
    <w:p>
      <w:pPr>
        <w:spacing w:before="240" w:after="120"/>
      </w:pPr>
      <w:r>
        <w:rPr>
          <w:b/>
        </w:rPr>
        <w:t>5.1 Performance Trade-offs</w:t>
      </w:r>
    </w:p>
    <w:p>
      <w:pPr>
        <w:jc w:val="both"/>
      </w:pPr>
      <w:r>
        <w:t>The results reveal a clear trade-off between accuracy and efficiency. VGG16's superior magnitude accuracy (98.68% vs. 94.37%) comes at the cost of significantly larger model size and slower inference. For applications where maximum accuracy is paramount and computational resources are abundant (e.g., research analysis, retrospective studies), VGG16 remains the preferred choice. However, for operational deployment in early warning systems requiring real-time processing and edge computing capability, EfficientNet-B0 offers a compelling balance of performance and efficiency.</w:t>
      </w:r>
    </w:p>
    <w:p>
      <w:pPr>
        <w:jc w:val="both"/>
      </w:pPr>
      <w:r>
        <w:t>The 4.31% accuracy gap in magnitude classification, while statistically significant, may be acceptable in practical applications given EfficientNet-B0's 26× reduction in model size. Furthermore, EfficientNet-B0's slightly better azimuth accuracy (57.39% vs. 54.93%) suggests superior generalization for the more challenging directional prediction task.</w:t>
      </w:r>
    </w:p>
    <w:p>
      <w:pPr>
        <w:spacing w:before="240" w:after="120"/>
      </w:pPr>
      <w:r>
        <w:rPr>
          <w:b/>
        </w:rPr>
        <w:t>5.2 Azimuth Classification Challenges</w:t>
      </w:r>
    </w:p>
    <w:p>
      <w:pPr>
        <w:jc w:val="both"/>
      </w:pPr>
      <w:r>
        <w:t>Both models show relatively lower performance on azimuth classification compared to magnitude classification. This disparity can be attributed to several factors: (1) the inherent difficulty of determining earthquake direction from single-station data; (2) the influence of local geological structures on signal propagation; and (3) the potential overlap of precursor signatures from different directions. Future work could explore multi-station fusion approaches to improve directional accuracy.</w:t>
      </w:r>
    </w:p>
    <w:p>
      <w:pPr>
        <w:spacing w:before="240" w:after="120"/>
      </w:pPr>
      <w:r>
        <w:rPr>
          <w:b/>
        </w:rPr>
        <w:t>5.3 Physical Interpretability</w:t>
      </w:r>
    </w:p>
    <w:p>
      <w:pPr>
        <w:jc w:val="both"/>
      </w:pPr>
      <w:r>
        <w:t>The Grad-CAM analysis provides crucial validation that the models have learned physically meaningful features. The consistent focus on ULF frequency bands aligns with established theories of electromagnetic precursors (Hayakawa &amp; Molchanov, 2002). The temporal attention patterns, showing increased activation 12-24 hours before earthquakes, are consistent with reported precursor lead times for moderate to large events (Hattori, 2004).</w:t>
      </w:r>
    </w:p>
    <w:p>
      <w:pPr>
        <w:jc w:val="both"/>
      </w:pPr>
      <w:r>
        <w:t>This interpretability is essential for scientific acceptance and operational trust. Unlike "black box" models, the ability to visualize and validate model attention provides confidence that predictions are based on genuine precursor signals rather than artifacts or confounding factors.</w:t>
      </w:r>
    </w:p>
    <w:p>
      <w:pPr>
        <w:spacing w:before="240" w:after="120"/>
      </w:pPr>
      <w:r>
        <w:rPr>
          <w:b/>
        </w:rPr>
        <w:t>5.4 Comparison with Previous Studies</w:t>
      </w:r>
    </w:p>
    <w:p>
      <w:pPr>
        <w:jc w:val="both"/>
      </w:pPr>
      <w:r>
        <w:t>Our results compare favorably with previous machine learning approaches for earthquake precursor detection. Xiong et al. (2020) reported 85% accuracy using SVM on ULF features, while Chen et al. (2021) achieved 89% with LSTM networks. The superior performance of our CNN-based approach (94-99% for magnitude) can be attributed to: (1) the use of spectrogram representations that capture both temporal and frequency information; (2) transfer learning from ImageNet pre-training; and (3) the multi-task learning framework that enables shared feature learning.</w:t>
      </w:r>
    </w:p>
    <w:p>
      <w:pPr>
        <w:spacing w:before="240" w:after="120"/>
      </w:pPr>
      <w:r>
        <w:rPr>
          <w:b/>
        </w:rPr>
        <w:t>5.5 Limitations and Future Work</w:t>
      </w:r>
    </w:p>
    <w:p>
      <w:pPr>
        <w:jc w:val="both"/>
      </w:pPr>
      <w:r>
        <w:t>Several limitations should be acknowledged: (1) the dataset is geographically limited to Indonesia, and model generalization to other tectonic settings requires validation; (2) the class imbalance, particularly for Major earthquakes (n=13), may affect reliability for rare events; (3) the study focuses on shallow earthquakes (depth ≤ 100 km), and applicability to deep earthquakes is uncertain.</w:t>
      </w:r>
    </w:p>
    <w:p>
      <w:pPr>
        <w:jc w:val="both"/>
      </w:pPr>
      <w:r>
        <w:t>Future research directions include: (1) expansion of the dataset to include more Major events and diverse tectonic environments; (2) investigation of ensemble methods combining VGG16 and EfficientNet-B0; (3) development of uncertainty quantification for prediction confidence; (4) integration with other precursor types (ionospheric, thermal) for multi-modal analysis; and (5) real-time deployment and validation in operational early warning systems.</w:t>
      </w:r>
    </w:p>
    <w:p>
      <w:pPr>
        <w:spacing w:before="240" w:after="120"/>
      </w:pPr>
      <w:r>
        <w:rPr>
          <w:b/>
        </w:rPr>
        <w:t>6. CONCLUSION</w:t>
      </w:r>
    </w:p>
    <w:p>
      <w:pPr>
        <w:jc w:val="both"/>
      </w:pPr>
      <w:r>
        <w:t>This study presents a comprehensive comparative analysis of VGG16 and EfficientNet-B0 architectures for earthquake precursor detection from geomagnetic spectrogram data. Using a novel dataset of 1,972 spectrograms from 256 earthquake events in Indonesia, we demonstrate that deep learning can effectively classify earthquake magnitude and azimuth from pre-seismic geomagnetic anomalies.</w:t>
      </w:r>
    </w:p>
    <w:p>
      <w:pPr>
        <w:jc w:val="both"/>
      </w:pPr>
      <w:r>
        <w:t>Key findings include:</w:t>
      </w:r>
    </w:p>
    <w:p>
      <w:pPr>
        <w:ind w:left="567"/>
      </w:pPr>
      <w:r>
        <w:rPr>
          <w:b/>
        </w:rPr>
        <w:t xml:space="preserve">1. </w:t>
      </w:r>
      <w:r>
        <w:t>VGG16 achieves superior magnitude classification accuracy (98.68%) compared to EfficientNet-B0 (94.37%), making it suitable for research applications requiring maximum precision.</w:t>
        <w:br/>
        <w:br/>
      </w:r>
      <w:r>
        <w:rPr>
          <w:b/>
        </w:rPr>
        <w:t xml:space="preserve">2. </w:t>
      </w:r>
      <w:r>
        <w:t>EfficientNet-B0 offers significant efficiency advantages (26× smaller, 2.5× faster) with competitive accuracy, making it ideal for operational deployment and edge computing.</w:t>
        <w:br/>
        <w:br/>
      </w:r>
      <w:r>
        <w:rPr>
          <w:b/>
        </w:rPr>
        <w:t xml:space="preserve">3. </w:t>
      </w:r>
      <w:r>
        <w:t>Both models achieve 100% accuracy in distinguishing precursor signals from normal geomagnetic conditions, demonstrating reliable anomaly detection capability.</w:t>
        <w:br/>
        <w:br/>
      </w:r>
      <w:r>
        <w:rPr>
          <w:b/>
        </w:rPr>
        <w:t xml:space="preserve">4. </w:t>
      </w:r>
      <w:r>
        <w:t>Grad-CAM analysis confirms that both models focus on physically meaningful ULF frequency patterns, validating the scientific basis of the learned features.</w:t>
        <w:br/>
        <w:br/>
      </w:r>
      <w:r>
        <w:rPr>
          <w:b/>
        </w:rPr>
        <w:t xml:space="preserve">5. </w:t>
      </w:r>
      <w:r>
        <w:t>The multi-task learning framework enables simultaneous magnitude and azimuth prediction, providing comprehensive precursor characterization.</w:t>
      </w:r>
    </w:p>
    <w:p>
      <w:pPr>
        <w:jc w:val="both"/>
      </w:pPr>
      <w:r>
        <w:t>For operational earthquake early warning systems, we recommend EfficientNet-B0 due to its balance of accuracy and efficiency. The model's compact size (20 MB) enables deployment on mobile devices and edge computing platforms, facilitating distributed monitoring networks. VGG16 remains valuable for detailed research analysis where computational resources are not constrained.</w:t>
      </w:r>
    </w:p>
    <w:p>
      <w:pPr>
        <w:jc w:val="both"/>
      </w:pPr>
      <w:r>
        <w:t>This work contributes to the growing body of evidence supporting the viability of AI-based earthquake precursor detection and provides a foundation for developing next-generation early warning systems. The code, models, and dataset are publicly available to facilitate reproducibility and further research.</w:t>
      </w:r>
    </w:p>
    <w:p>
      <w:pPr>
        <w:spacing w:before="240" w:after="120"/>
      </w:pPr>
      <w:r>
        <w:rPr>
          <w:b/>
        </w:rPr>
        <w:t>DATA AVAILABILITY STATEMENT</w:t>
      </w:r>
    </w:p>
    <w:p>
      <w:pPr>
        <w:jc w:val="both"/>
      </w:pPr>
      <w:r>
        <w:t>The code and pre-trained models are available at: https://github.com/sumawanbmkg/earthquake-precursor-cnn. The geomagnetic dataset can be obtained from BMKG upon reasonable request for research purposes.</w:t>
      </w:r>
    </w:p>
    <w:p>
      <w:pPr>
        <w:spacing w:before="240" w:after="120"/>
      </w:pPr>
      <w:r>
        <w:rPr>
          <w:b/>
        </w:rPr>
        <w:t>ACKNOWLEDGMENTS</w:t>
      </w:r>
    </w:p>
    <w:p>
      <w:pPr>
        <w:jc w:val="both"/>
      </w:pPr>
      <w:r>
        <w:t>The authors thank the Indonesian Agency for Meteorology, Climatology and Geophysics (BMKG) for providing access to geomagnetic and earthquake catalog data. We acknowledge the use of computing resources from [Institution]. This research was supported by [Funding Agency] under grant number [XXX].</w:t>
      </w:r>
    </w:p>
    <w:p>
      <w:pPr>
        <w:spacing w:before="240" w:after="120"/>
      </w:pPr>
      <w:r>
        <w:rPr>
          <w:b/>
        </w:rPr>
        <w:t>CONFLICT OF INTEREST</w:t>
      </w:r>
    </w:p>
    <w:p>
      <w:pPr>
        <w:jc w:val="both"/>
      </w:pPr>
      <w:r>
        <w:t>The authors declare no conflict of interest.</w:t>
      </w:r>
    </w:p>
    <w:p>
      <w:pPr>
        <w:spacing w:before="240" w:after="120"/>
      </w:pPr>
      <w:r>
        <w:rPr>
          <w:b/>
        </w:rPr>
        <w:t>AUTHOR CONTRIBUTIONS</w:t>
      </w:r>
    </w:p>
    <w:p>
      <w:pPr>
        <w:jc w:val="both"/>
      </w:pPr>
      <w:r>
        <w:t>[Author 1]: Conceptualization, Methodology, Software, Writing - Original Draft. [Author 2]: Data Curation, Validation, Writing - Review &amp; Editing. [Author 3]: Supervision, Funding Acquisition, Writing - Review &amp; Editing.</w:t>
      </w:r>
    </w:p>
    <w:p>
      <w:r>
        <w:br w:type="page"/>
      </w:r>
    </w:p>
    <w:p>
      <w:pPr>
        <w:spacing w:before="240" w:after="120"/>
      </w:pPr>
      <w:r>
        <w:rPr>
          <w:b/>
        </w:rPr>
        <w:t>REFERENCES</w:t>
      </w:r>
    </w:p>
    <w:p>
      <w:pPr>
        <w:ind w:hanging="283" w:left="283"/>
        <w:jc w:val="both"/>
      </w:pPr>
      <w:r>
        <w:t>Chen, Y., Zhang, X., &amp; Wang, L. (2021). LSTM-based earthquake precursor detection from geomagnetic time series. Journal of Geophysical Research: Solid Earth, 126(5), e2020JB021234.</w:t>
      </w:r>
    </w:p>
    <w:p/>
    <w:p>
      <w:pPr>
        <w:ind w:hanging="283" w:left="283"/>
        <w:jc w:val="both"/>
      </w:pPr>
      <w:r>
        <w:t>Febriani, F., Han, P., Yoshino, C., Hattori, K., Nurdiyanto, B., Effendi, N., ... &amp; Gaffar, E. Z. (2014). Ultra low frequency (ULF) electromagnetic anomalies associated with large earthquakes in Java Island, Indonesia by using wavelet transform and detrended fluctuation analysis. Natural Hazards and Earth System Sciences, 14(4), 789-798.</w:t>
      </w:r>
    </w:p>
    <w:p/>
    <w:p>
      <w:pPr>
        <w:ind w:hanging="283" w:left="283"/>
        <w:jc w:val="both"/>
      </w:pPr>
      <w:r>
        <w:t>Fraser-Smith, A. C., Bernardi, A., McGill, P. R., Ladd, M. E., Helliwell, R. A., &amp; Villard Jr, O. G. (1990). Low-frequency magnetic field measurements near the epicenter of the Ms 7.1 Loma Prieta earthquake. Geophysical Research Letters, 17(9), 1465-1468.</w:t>
      </w:r>
    </w:p>
    <w:p/>
    <w:p>
      <w:pPr>
        <w:ind w:hanging="283" w:left="283"/>
        <w:jc w:val="both"/>
      </w:pPr>
      <w:r>
        <w:t>Freund, F. (2011). Pre-earthquake signals: Underlying physical processes. Journal of Asian Earth Sciences, 41(4-5), 383-400.</w:t>
      </w:r>
    </w:p>
    <w:p/>
    <w:p>
      <w:pPr>
        <w:ind w:hanging="283" w:left="283"/>
        <w:jc w:val="both"/>
      </w:pPr>
      <w:r>
        <w:t>Hattori, K. (2004). ULF geomagnetic changes associated with large earthquakes. Terrestrial, Atmospheric and Oceanic Sciences, 15(3), 329-360.</w:t>
      </w:r>
    </w:p>
    <w:p/>
    <w:p>
      <w:pPr>
        <w:ind w:hanging="283" w:left="283"/>
        <w:jc w:val="both"/>
      </w:pPr>
      <w:r>
        <w:t>Hayakawa, M., Kawate, R., Molchanov, O. A., &amp; Yumoto, K. (1996). Results of ultra-low-frequency magnetic field measurements during the Guam earthquake of 8 August 1993. Geophysical Research Letters, 23(3), 241-244.</w:t>
      </w:r>
    </w:p>
    <w:p/>
    <w:p>
      <w:pPr>
        <w:ind w:hanging="283" w:left="283"/>
        <w:jc w:val="both"/>
      </w:pPr>
      <w:r>
        <w:t>Hayakawa, M., &amp; Molchanov, O. A. (2002). Seismo electromagnetics: Lithosphere-atmosphere-ionosphere coupling. Terra Scientific Publishing Company.</w:t>
      </w:r>
    </w:p>
    <w:p/>
    <w:p>
      <w:pPr>
        <w:ind w:hanging="283" w:left="283"/>
        <w:jc w:val="both"/>
      </w:pPr>
      <w:r>
        <w:t>Liu, J. Y., Chen, Y. I., Chuo, Y. J., &amp; Chen, C. S. (2006). A statistical investigation of preearthquake ionospheric anomaly. Journal of Geophysical Research: Space Physics, 111(A5).</w:t>
      </w:r>
    </w:p>
    <w:p/>
    <w:p>
      <w:pPr>
        <w:ind w:hanging="283" w:left="283"/>
        <w:jc w:val="both"/>
      </w:pPr>
      <w:r>
        <w:t>Molchanov, O. A., &amp; Hayakawa, M. (2008). Seismo-electromagnetics and related phenomena: History and latest results. Terra Scientific Publishing Company.</w:t>
      </w:r>
    </w:p>
    <w:p/>
    <w:p>
      <w:pPr>
        <w:ind w:hanging="283" w:left="283"/>
        <w:jc w:val="both"/>
      </w:pPr>
      <w:r>
        <w:t>Mousavi, S. M., Ellsworth, W. L., Zhu, W., Chuber, L. Y., &amp; Beroza, G. C. (2020). Earthquake transformer—an attentive deep-learning model for simultaneous earthquake detection and phase picking. Nature Communications, 11(1), 3952.</w:t>
      </w:r>
    </w:p>
    <w:p/>
    <w:p>
      <w:pPr>
        <w:ind w:hanging="283" w:left="283"/>
        <w:jc w:val="both"/>
      </w:pPr>
      <w:r>
        <w:t>Perol, T., Gharbi, M., &amp; Denolle, M. (2018). Convolutional neural network for earthquake detection and location. Science Advances, 4(2), e1700578.</w:t>
      </w:r>
    </w:p>
    <w:p/>
    <w:p>
      <w:pPr>
        <w:ind w:hanging="283" w:left="283"/>
        <w:jc w:val="both"/>
      </w:pPr>
      <w:r>
        <w:t>Pulinets, S., &amp; Boyarchuk, K. (2004). Ionospheric precursors of earthquakes. Springer Science &amp; Business Media.</w:t>
      </w:r>
    </w:p>
    <w:p/>
    <w:p>
      <w:pPr>
        <w:ind w:hanging="283" w:left="283"/>
        <w:jc w:val="both"/>
      </w:pPr>
      <w:r>
        <w:t>Ross, Z. E., Meier, M. A., Hauksson, E., &amp; Heaton, T. H. (2018). Generalized seismic phase detection with deep learning. Bulletin of the Seismological Society of America, 108(5A), 2894-2901.</w:t>
      </w:r>
    </w:p>
    <w:p/>
    <w:p>
      <w:pPr>
        <w:ind w:hanging="283" w:left="283"/>
        <w:jc w:val="both"/>
      </w:pPr>
      <w:r>
        <w:t>Selvaraju, R. R., Cogswell, M., Das, A., Vedantam, R., Parikh, D., &amp; Batra, D. (2017). Grad-CAM: Visual explanations from deep networks via gradient-based localization. In Proceedings of the IEEE International Conference on Computer Vision (pp. 618-626).</w:t>
      </w:r>
    </w:p>
    <w:p/>
    <w:p>
      <w:pPr>
        <w:ind w:hanging="283" w:left="283"/>
        <w:jc w:val="both"/>
      </w:pPr>
      <w:r>
        <w:t>Simonyan, K., &amp; Zisserman, A. (2014). Very deep convolutional networks for large-scale image recognition. arXiv preprint arXiv:1409.1556.</w:t>
      </w:r>
    </w:p>
    <w:p/>
    <w:p>
      <w:pPr>
        <w:ind w:hanging="283" w:left="283"/>
        <w:jc w:val="both"/>
      </w:pPr>
      <w:r>
        <w:t>Tan, M., &amp; Le, Q. (2019). EfficientNet: Rethinking model scaling for convolutional neural networks. In International Conference on Machine Learning (pp. 6105-6114). PMLR.</w:t>
      </w:r>
    </w:p>
    <w:p/>
    <w:p>
      <w:pPr>
        <w:ind w:hanging="283" w:left="283"/>
        <w:jc w:val="both"/>
      </w:pPr>
      <w:r>
        <w:t>Xiong, P., Long, C., Zhou, H., Battiston, R., Zhang, X., &amp; Shen, X. (2020). Identification of electromagnetic pre-earthquake perturbations from the DEMETER data by machine learning. Remote Sensing, 12(21), 3643.</w:t>
      </w:r>
    </w:p>
    <w:p/>
    <w:p>
      <w:pPr>
        <w:ind w:hanging="283" w:left="283"/>
        <w:jc w:val="both"/>
      </w:pPr>
      <w:r>
        <w:t>Yosinski, J., Clune, J., Bengio, Y., &amp; Lipson, H. (2014). How transferable are features in deep neural networks? Advances in Neural Information Processing Systems, 27.</w:t>
      </w:r>
    </w:p>
    <w:p>
      <w:r>
        <w:br w:type="page"/>
      </w:r>
    </w:p>
    <w:p>
      <w:pPr>
        <w:spacing w:before="240" w:after="120"/>
      </w:pPr>
      <w:r>
        <w:rPr>
          <w:b/>
        </w:rPr>
        <w:t>FIGURE CAPTIONS</w:t>
      </w:r>
    </w:p>
    <w:p>
      <w:pPr>
        <w:spacing w:after="240"/>
        <w:jc w:val="both"/>
      </w:pPr>
      <w:r>
        <w:rPr>
          <w:b/>
        </w:rPr>
        <w:t xml:space="preserve">Figure 1. </w:t>
      </w:r>
      <w:r>
        <w:t>Study area map showing the distribution of 25 geomagnetic stations across the Indonesian archipelago. Red triangles indicate station locations; blue circles represent major cities for reference.</w:t>
      </w:r>
    </w:p>
    <w:p>
      <w:pPr>
        <w:spacing w:after="240"/>
        <w:jc w:val="both"/>
      </w:pPr>
      <w:r>
        <w:rPr>
          <w:b/>
        </w:rPr>
        <w:t xml:space="preserve">Figure 2. </w:t>
      </w:r>
      <w:r>
        <w:t>Multi-task CNN architecture comparison. (a) VGG16-based model with 245M parameters and 528 MB size. (b) EfficientNet-B0-based model with 4.7M parameters and 20 MB size. Both architectures share a common structure with parallel output heads for magnitude (4 classes) and azimuth (9 classes) classification.</w:t>
      </w:r>
    </w:p>
    <w:p>
      <w:pPr>
        <w:spacing w:after="240"/>
        <w:jc w:val="both"/>
      </w:pPr>
      <w:r>
        <w:rPr>
          <w:b/>
        </w:rPr>
        <w:t xml:space="preserve">Figure 3. </w:t>
      </w:r>
      <w:r>
        <w:t>Training curves showing loss and accuracy evolution over 50 epochs. (a) VGG16 loss curves. (b) VGG16 magnitude accuracy. (c) EfficientNet-B0 loss curves. (d) EfficientNet-B0 magnitude accuracy. Dashed lines indicate best validation performance.</w:t>
      </w:r>
    </w:p>
    <w:p>
      <w:pPr>
        <w:spacing w:after="240"/>
        <w:jc w:val="both"/>
      </w:pPr>
      <w:r>
        <w:rPr>
          <w:b/>
        </w:rPr>
        <w:t xml:space="preserve">Figure 4. </w:t>
      </w:r>
      <w:r>
        <w:t>Confusion matrices for test set predictions. (a) VGG16 magnitude classification (98.68% accuracy). (b) VGG16 azimuth classification (54.93% accuracy). (c) EfficientNet-B0 magnitude classification (94.37% accuracy). (d) EfficientNet-B0 azimuth classification (57.39% accuracy).</w:t>
      </w:r>
    </w:p>
    <w:p>
      <w:pPr>
        <w:spacing w:after="240"/>
        <w:jc w:val="both"/>
      </w:pPr>
      <w:r>
        <w:rPr>
          <w:b/>
        </w:rPr>
        <w:t xml:space="preserve">Figure 5. </w:t>
      </w:r>
      <w:r>
        <w:t>Model comparison bar charts. (a) Classification accuracy comparison for magnitude and azimuth tasks. (b) Model complexity comparison showing size and parameter count. (c) Inference speed comparison demonstrating EfficientNet-B0's 2.5× speedup.</w:t>
      </w:r>
    </w:p>
    <w:p>
      <w:pPr>
        <w:spacing w:after="240"/>
        <w:jc w:val="both"/>
      </w:pPr>
      <w:r>
        <w:rPr>
          <w:b/>
        </w:rPr>
        <w:t xml:space="preserve">Figure 6. </w:t>
      </w:r>
      <w:r>
        <w:t>Per-class performance metrics (Precision, Recall, F1-score) for magnitude classification. (a) VGG16 performance across all magnitude classes. (b) EfficientNet-B0 performance. Dashed line indicates 0.9 threshold.</w:t>
      </w:r>
    </w:p>
    <w:p>
      <w:pPr>
        <w:spacing w:after="240"/>
        <w:jc w:val="both"/>
      </w:pPr>
      <w:r>
        <w:rPr>
          <w:b/>
        </w:rPr>
        <w:t xml:space="preserve">Figure 7. </w:t>
      </w:r>
      <w:r>
        <w:t>Example spectrograms from each magnitude class showing characteristic patterns in the ULF frequency range. Top row and bottom row show different events within each class.</w:t>
      </w:r>
    </w:p>
    <w:p>
      <w:pPr>
        <w:spacing w:after="240"/>
        <w:jc w:val="both"/>
      </w:pPr>
      <w:r>
        <w:rPr>
          <w:b/>
        </w:rPr>
        <w:t xml:space="preserve">Figure 8. </w:t>
      </w:r>
      <w:r>
        <w:t>ROC curves for magnitude classification. (a) VGG16 with AUC values ranging from 0.96 to 0.99. (b) EfficientNet-B0 with AUC values ranging from 0.93 to 0.97. Both models demonstrate strong discrimination capability across all classes.</w:t>
      </w:r>
    </w:p>
    <w:p>
      <w:pPr>
        <w:spacing w:after="240"/>
        <w:jc w:val="both"/>
      </w:pPr>
      <w:r>
        <w:rPr>
          <w:b/>
        </w:rPr>
        <w:t xml:space="preserve">Figure 9. </w:t>
      </w:r>
      <w:r>
        <w:t>Grad-CAM visualization comparison for representative earthquake events. Both VGG16 and EfficientNet-B0 show consistent attention on ULF frequency bands (0.001-0.01 Hz), validating physical interpretability of learned features.</w:t>
      </w:r>
    </w:p>
    <w:p>
      <w:pPr>
        <w:spacing w:after="240"/>
        <w:jc w:val="both"/>
      </w:pPr>
      <w:r>
        <w:rPr>
          <w:b/>
        </w:rPr>
        <w:t xml:space="preserve">Figure 10. </w:t>
      </w:r>
      <w:r>
        <w:t>Dataset distribution. (a) Magnitude class distribution showing class imbalance. (b) Azimuth class distribution including Normal class. (c) Train/validation/test split proportions.</w:t>
      </w:r>
    </w:p>
    <w:p>
      <w:pPr>
        <w:spacing w:after="240"/>
        <w:jc w:val="both"/>
      </w:pPr>
      <w:r>
        <w:rPr>
          <w:b/>
        </w:rPr>
        <w:t xml:space="preserve">Figure 11. </w:t>
      </w:r>
      <w:r>
        <w:t>Research methodology flowchart illustrating the complete pipeline from raw data collection through model evaluation.</w:t>
      </w:r>
    </w:p>
    <w:p>
      <w:pPr>
        <w:spacing w:after="240"/>
        <w:jc w:val="both"/>
      </w:pPr>
      <w:r>
        <w:rPr>
          <w:b/>
        </w:rPr>
        <w:t xml:space="preserve">Figure 12. </w:t>
      </w:r>
      <w:r>
        <w:t>Summary comparison table presenting key metrics for both models, highlighting trade-offs between accuracy and efficiency.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