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PIT Regulations, 2015 – QnA in form of Regulations </w:t>
      </w:r>
    </w:p>
    <w:p>
      <w:pPr>
        <w:pStyle w:val="ListParagraph"/>
        <w:rPr>
          <w:b/>
          <w:b/>
          <w:bCs/>
        </w:rPr>
      </w:pPr>
      <w:r>
        <w:rPr>
          <w:b/>
          <w:bCs/>
        </w:rPr>
      </w:r>
    </w:p>
    <w:p>
      <w:pPr>
        <w:pStyle w:val="ListParagraph"/>
        <w:numPr>
          <w:ilvl w:val="0"/>
          <w:numId w:val="1"/>
        </w:numPr>
        <w:rPr>
          <w:b/>
          <w:b/>
          <w:bCs/>
        </w:rPr>
      </w:pPr>
      <w:r>
        <w:rPr>
          <w:b/>
          <w:bCs/>
        </w:rPr>
        <w:t xml:space="preserve">Is it insider trading </w:t>
      </w:r>
      <w:r>
        <w:rPr>
          <w:b/>
          <w:bCs/>
          <w:color w:val="FF0000"/>
        </w:rPr>
        <w:t>if I know an employee of a company</w:t>
      </w:r>
      <w:r>
        <w:rPr>
          <w:b/>
          <w:bCs/>
        </w:rPr>
        <w:t xml:space="preserve"> and I buy that company’s stock? </w:t>
      </w:r>
    </w:p>
    <w:p>
      <w:pPr>
        <w:pStyle w:val="ListParagraph"/>
        <w:ind w:left="360" w:hanging="0"/>
        <w:rPr/>
      </w:pPr>
      <w:r>
        <w:rPr>
          <w:b/>
          <w:bCs/>
        </w:rPr>
        <w:br/>
      </w:r>
      <w:r>
        <w:rPr>
          <w:b/>
        </w:rPr>
        <w:t>4. (1)</w:t>
      </w:r>
      <w:r>
        <w:rPr/>
        <w:t xml:space="preserve"> No </w:t>
      </w:r>
      <w:r>
        <w:rPr>
          <w:color w:val="FF0000"/>
        </w:rPr>
        <w:t>insider</w:t>
      </w:r>
      <w:r>
        <w:rPr/>
        <w:t xml:space="preserve"> shall trade in securities that are listed or proposed to be listed on a stock exchange when in possession of </w:t>
      </w:r>
      <w:r>
        <w:rPr>
          <w:color w:val="FF0000"/>
        </w:rPr>
        <w:t>unpublished price sensitive information</w:t>
      </w:r>
      <w:r>
        <w:rPr/>
        <w:t xml:space="preserve">: </w:t>
      </w:r>
    </w:p>
    <w:p>
      <w:pPr>
        <w:pStyle w:val="ListParagraph"/>
        <w:ind w:left="360" w:hanging="0"/>
        <w:rPr/>
      </w:pPr>
      <w:r>
        <w:rPr/>
        <w:t xml:space="preserve">17[Explanation –When a person who has traded in securities has been in possession of unpublished price sensitive information, his trades would be presumed to have been motivated by the knowledge and awareness of such information in his possession.]  </w:t>
      </w:r>
      <w:r>
        <w:rPr>
          <w:b/>
          <w:bCs/>
        </w:rPr>
        <w:t xml:space="preserve">[3] </w:t>
      </w:r>
      <w:r>
        <w:rPr>
          <w:b/>
          <w:bCs/>
        </w:rPr>
        <w:t>[3]</w:t>
      </w:r>
    </w:p>
    <w:p>
      <w:pPr>
        <w:pStyle w:val="ListParagraph"/>
        <w:rPr/>
      </w:pPr>
      <w:r>
        <w:rPr/>
      </w:r>
    </w:p>
    <w:p>
      <w:pPr>
        <w:pStyle w:val="ListParagraph"/>
        <w:numPr>
          <w:ilvl w:val="0"/>
          <w:numId w:val="1"/>
        </w:numPr>
        <w:rPr>
          <w:rFonts w:cs="Segoe UI"/>
          <w:b/>
          <w:b/>
          <w:bCs/>
          <w:color w:val="282829"/>
          <w:highlight w:val="white"/>
        </w:rPr>
      </w:pPr>
      <w:r>
        <w:rPr>
          <w:rFonts w:cs="Segoe UI"/>
          <w:b/>
          <w:bCs/>
          <w:color w:val="FF0000"/>
          <w:shd w:fill="FFFFFF" w:val="clear"/>
        </w:rPr>
        <w:t>How much amount</w:t>
      </w:r>
      <w:r>
        <w:rPr>
          <w:rFonts w:cs="Segoe UI"/>
          <w:b/>
          <w:bCs/>
          <w:color w:val="282829"/>
          <w:shd w:fill="FFFFFF" w:val="clear"/>
        </w:rPr>
        <w:t xml:space="preserve"> will be provided as </w:t>
      </w:r>
      <w:r>
        <w:rPr>
          <w:rFonts w:cs="Segoe UI"/>
          <w:b/>
          <w:bCs/>
          <w:color w:val="FF0000"/>
          <w:shd w:fill="FFFFFF" w:val="clear"/>
        </w:rPr>
        <w:t>reward for informants</w:t>
      </w:r>
      <w:r>
        <w:rPr>
          <w:rFonts w:cs="Segoe UI"/>
          <w:b/>
          <w:bCs/>
          <w:color w:val="282829"/>
          <w:shd w:fill="FFFFFF" w:val="clear"/>
        </w:rPr>
        <w:t xml:space="preserve"> in insider trading cases by Securities and Exchange Board of India (SEBI)?</w:t>
      </w:r>
    </w:p>
    <w:p>
      <w:pPr>
        <w:pStyle w:val="ListParagraph"/>
        <w:ind w:left="360" w:hanging="0"/>
        <w:rPr>
          <w:rFonts w:cs="Segoe UI"/>
          <w:bCs/>
          <w:color w:val="282829"/>
          <w:highlight w:val="white"/>
        </w:rPr>
      </w:pPr>
      <w:r>
        <w:rPr>
          <w:rFonts w:cs="Segoe UI"/>
          <w:b/>
          <w:bCs/>
          <w:color w:val="282829"/>
          <w:shd w:fill="FFFFFF" w:val="clear"/>
        </w:rPr>
        <w:br/>
        <w:t>7D. (1)</w:t>
      </w:r>
      <w:r>
        <w:rPr>
          <w:rFonts w:cs="Segoe UI"/>
          <w:bCs/>
          <w:color w:val="282829"/>
          <w:shd w:fill="FFFFFF" w:val="clear"/>
        </w:rPr>
        <w:t xml:space="preserve"> Upon collection or substantial recovery of the monetary sanctions amounting to at least twice the Reward, the Board may at its sole discretion, declare an Informant eligible for Reward and intimate the Informant or his or her legal representative to file an application in the format provided in Schedule-E for claiming such Reward: </w:t>
      </w:r>
    </w:p>
    <w:p>
      <w:pPr>
        <w:pStyle w:val="ListParagraph"/>
        <w:ind w:left="360" w:hanging="0"/>
        <w:rPr>
          <w:rFonts w:cs="Segoe UI"/>
          <w:bCs/>
          <w:color w:val="282829"/>
          <w:highlight w:val="white"/>
        </w:rPr>
      </w:pPr>
      <w:r>
        <w:rPr>
          <w:rFonts w:cs="Segoe UI"/>
          <w:bCs/>
          <w:color w:val="282829"/>
          <w:shd w:fill="FFFFFF" w:val="clear"/>
        </w:rPr>
        <w:t xml:space="preserve">Provided that the </w:t>
      </w:r>
      <w:r>
        <w:rPr>
          <w:rFonts w:cs="Segoe UI"/>
          <w:bCs/>
          <w:color w:val="FF0000"/>
          <w:shd w:fill="FFFFFF" w:val="clear"/>
        </w:rPr>
        <w:t>amount of Reward shall be ten percent of the monetary sanctions collected</w:t>
      </w:r>
      <w:r>
        <w:rPr>
          <w:rFonts w:cs="Segoe UI"/>
          <w:bCs/>
          <w:color w:val="282829"/>
          <w:shd w:fill="FFFFFF" w:val="clear"/>
        </w:rPr>
        <w:t xml:space="preserve"> or recovered and </w:t>
      </w:r>
      <w:r>
        <w:rPr>
          <w:rFonts w:cs="Segoe UI"/>
          <w:bCs/>
          <w:color w:val="FF0000"/>
          <w:shd w:fill="FFFFFF" w:val="clear"/>
        </w:rPr>
        <w:t>shall not exceed Rupees One crore or such higher amount as the Board may specify</w:t>
      </w:r>
      <w:r>
        <w:rPr>
          <w:rFonts w:cs="Segoe UI"/>
          <w:bCs/>
          <w:color w:val="282829"/>
          <w:shd w:fill="FFFFFF" w:val="clear"/>
        </w:rPr>
        <w:t xml:space="preserve"> from time to time: </w:t>
      </w:r>
    </w:p>
    <w:p>
      <w:pPr>
        <w:pStyle w:val="ListParagraph"/>
        <w:ind w:left="360" w:hanging="0"/>
        <w:rPr>
          <w:rFonts w:cs="Segoe UI"/>
          <w:bCs/>
          <w:color w:val="282829"/>
          <w:highlight w:val="white"/>
        </w:rPr>
      </w:pPr>
      <w:r>
        <w:rPr>
          <w:rFonts w:cs="Segoe UI"/>
          <w:bCs/>
          <w:color w:val="282829"/>
          <w:shd w:fill="FFFFFF" w:val="clear"/>
        </w:rPr>
        <w:t xml:space="preserve">Provided further that the Board may if deemed fit, out of the total Reward payable, grant an interim reward not exceeding Rupees Ten lacs or such higher amount as the Board may specify from time to time, on the issue of final order by the Board against the person directed to disgorge. </w:t>
      </w:r>
      <w:r>
        <w:rPr>
          <w:rFonts w:cs="Segoe UI"/>
          <w:b/>
          <w:bCs/>
          <w:color w:val="282829"/>
          <w:shd w:fill="FFFFFF" w:val="clear"/>
        </w:rPr>
        <w:t>[10]</w:t>
      </w:r>
      <w:r>
        <w:rPr>
          <w:rFonts w:cs="Segoe UI"/>
          <w:b/>
          <w:bCs/>
          <w:color w:val="282829"/>
          <w:highlight w:val="white"/>
          <w:highlight w:val="white"/>
        </w:rPr>
        <w:t xml:space="preserve"> </w:t>
      </w:r>
      <w:r>
        <w:rPr>
          <w:rFonts w:cs="Segoe UI"/>
          <w:b/>
          <w:bCs/>
          <w:color w:val="282829"/>
          <w:highlight w:val="white"/>
          <w:highlight w:val="white"/>
        </w:rPr>
        <w:t>[10]</w:t>
      </w:r>
    </w:p>
    <w:p>
      <w:pPr>
        <w:pStyle w:val="ListParagraph"/>
        <w:ind w:left="360" w:hanging="0"/>
        <w:rPr>
          <w:rFonts w:cs="Segoe UI"/>
          <w:bCs/>
          <w:color w:val="282829"/>
          <w:highlight w:val="white"/>
        </w:rPr>
      </w:pPr>
      <w:r>
        <w:rPr>
          <w:rFonts w:cs="Segoe UI"/>
          <w:b/>
          <w:bCs/>
          <w:color w:val="282829"/>
          <w:shd w:fill="FFFFFF" w:val="clear"/>
        </w:rPr>
        <w:t>7E. (1)</w:t>
      </w:r>
      <w:r>
        <w:rPr>
          <w:rFonts w:cs="Segoe UI"/>
          <w:bCs/>
          <w:color w:val="282829"/>
          <w:shd w:fill="FFFFFF" w:val="clear"/>
        </w:rPr>
        <w:t xml:space="preserve"> </w:t>
      </w:r>
      <w:r>
        <w:rPr>
          <w:rFonts w:cs="Segoe UI"/>
          <w:bCs/>
          <w:color w:val="FF0000"/>
          <w:shd w:fill="FFFFFF" w:val="clear"/>
        </w:rPr>
        <w:t>The amount of the Reward</w:t>
      </w:r>
      <w:r>
        <w:rPr>
          <w:rFonts w:cs="Segoe UI"/>
          <w:bCs/>
          <w:color w:val="282829"/>
          <w:shd w:fill="FFFFFF" w:val="clear"/>
        </w:rPr>
        <w:t xml:space="preserve">, if payable, shall be determined by the Board. </w:t>
      </w:r>
    </w:p>
    <w:p>
      <w:pPr>
        <w:pStyle w:val="ListParagraph"/>
        <w:ind w:left="360" w:hanging="0"/>
        <w:rPr>
          <w:rFonts w:cs="Segoe UI"/>
          <w:bCs/>
          <w:color w:val="282829"/>
          <w:highlight w:val="white"/>
        </w:rPr>
      </w:pPr>
      <w:r>
        <w:rPr>
          <w:rFonts w:cs="Segoe UI"/>
          <w:b/>
          <w:bCs/>
          <w:color w:val="282829"/>
          <w:shd w:fill="FFFFFF" w:val="clear"/>
        </w:rPr>
        <w:t>(2)</w:t>
      </w:r>
      <w:r>
        <w:rPr>
          <w:rFonts w:cs="Segoe UI"/>
          <w:bCs/>
          <w:color w:val="282829"/>
          <w:shd w:fill="FFFFFF" w:val="clear"/>
        </w:rPr>
        <w:t xml:space="preserve"> While determining the amount of Reward under sub-regulation (1), the Board may specify the factors that may be taken into consideration by the Informant Incentive Committee.</w:t>
      </w:r>
    </w:p>
    <w:p>
      <w:pPr>
        <w:pStyle w:val="ListParagraph"/>
        <w:ind w:left="360" w:hanging="0"/>
        <w:rPr>
          <w:rFonts w:cs="Segoe UI"/>
          <w:bCs/>
          <w:color w:val="282829"/>
          <w:highlight w:val="white"/>
        </w:rPr>
      </w:pPr>
      <w:r>
        <w:rPr>
          <w:rFonts w:cs="Segoe UI"/>
          <w:bCs/>
          <w:color w:val="282829"/>
          <w:highlight w:val="white"/>
        </w:rPr>
      </w:r>
    </w:p>
    <w:p>
      <w:pPr>
        <w:pStyle w:val="ListParagraph"/>
        <w:numPr>
          <w:ilvl w:val="0"/>
          <w:numId w:val="1"/>
        </w:numPr>
        <w:rPr>
          <w:rFonts w:cs="Segoe UI"/>
          <w:b/>
          <w:b/>
          <w:bCs/>
          <w:color w:val="282829"/>
          <w:highlight w:val="white"/>
        </w:rPr>
      </w:pPr>
      <w:r>
        <w:rPr>
          <w:rFonts w:cs="Segoe UI"/>
          <w:b/>
          <w:bCs/>
          <w:color w:val="FF0000"/>
          <w:shd w:fill="FFFFFF" w:val="clear"/>
        </w:rPr>
        <w:t>How do</w:t>
      </w:r>
      <w:r>
        <w:rPr>
          <w:rFonts w:cs="Segoe UI"/>
          <w:b/>
          <w:bCs/>
          <w:color w:val="282829"/>
          <w:shd w:fill="FFFFFF" w:val="clear"/>
        </w:rPr>
        <w:t xml:space="preserve"> CEOs and their families </w:t>
      </w:r>
      <w:r>
        <w:rPr>
          <w:rFonts w:cs="Segoe UI"/>
          <w:b/>
          <w:bCs/>
          <w:color w:val="FF0000"/>
          <w:shd w:fill="FFFFFF" w:val="clear"/>
        </w:rPr>
        <w:t>trade</w:t>
      </w:r>
      <w:r>
        <w:rPr>
          <w:rFonts w:cs="Segoe UI"/>
          <w:b/>
          <w:bCs/>
          <w:color w:val="282829"/>
          <w:shd w:fill="FFFFFF" w:val="clear"/>
        </w:rPr>
        <w:t xml:space="preserve"> stock from their company </w:t>
      </w:r>
      <w:r>
        <w:rPr>
          <w:rFonts w:cs="Segoe UI"/>
          <w:b/>
          <w:bCs/>
          <w:color w:val="FF0000"/>
          <w:shd w:fill="FFFFFF" w:val="clear"/>
        </w:rPr>
        <w:t>without it being insider trading</w:t>
      </w:r>
      <w:r>
        <w:rPr>
          <w:rFonts w:cs="Segoe UI"/>
          <w:b/>
          <w:bCs/>
          <w:color w:val="282829"/>
          <w:shd w:fill="FFFFFF" w:val="clear"/>
        </w:rPr>
        <w:t>?</w:t>
      </w:r>
    </w:p>
    <w:p>
      <w:pPr>
        <w:pStyle w:val="ListParagraph"/>
        <w:ind w:left="360" w:hanging="0"/>
        <w:rPr>
          <w:sz w:val="23"/>
          <w:szCs w:val="23"/>
        </w:rPr>
      </w:pPr>
      <w:r>
        <w:rPr>
          <w:sz w:val="23"/>
          <w:szCs w:val="23"/>
        </w:rPr>
      </w:r>
    </w:p>
    <w:p>
      <w:pPr>
        <w:pStyle w:val="ListParagraph"/>
        <w:ind w:left="360" w:hanging="0"/>
        <w:rPr>
          <w:sz w:val="23"/>
          <w:szCs w:val="23"/>
        </w:rPr>
      </w:pPr>
      <w:r>
        <w:rPr>
          <w:b/>
          <w:sz w:val="23"/>
          <w:szCs w:val="23"/>
        </w:rPr>
        <w:t>5. (1)</w:t>
      </w:r>
      <w:r>
        <w:rPr>
          <w:sz w:val="23"/>
          <w:szCs w:val="23"/>
        </w:rPr>
        <w:t xml:space="preserve"> An insider shall be entitled to </w:t>
      </w:r>
      <w:r>
        <w:rPr>
          <w:color w:val="FF0000"/>
          <w:sz w:val="23"/>
          <w:szCs w:val="23"/>
        </w:rPr>
        <w:t>formulate a trading plan</w:t>
      </w:r>
      <w:r>
        <w:rPr>
          <w:sz w:val="23"/>
          <w:szCs w:val="23"/>
        </w:rPr>
        <w:t xml:space="preserve"> and present it to the compliance officer for approval and public disclosure pursuant to which trades may be carried out on his behalf in accordance with such plan. </w:t>
      </w:r>
    </w:p>
    <w:p>
      <w:pPr>
        <w:pStyle w:val="ListParagraph"/>
        <w:ind w:left="360" w:hanging="0"/>
        <w:rPr>
          <w:i/>
          <w:i/>
          <w:iCs/>
          <w:sz w:val="23"/>
          <w:szCs w:val="23"/>
        </w:rPr>
      </w:pPr>
      <w:r>
        <w:rPr>
          <w:b/>
          <w:bCs/>
          <w:i/>
          <w:iCs/>
          <w:sz w:val="23"/>
          <w:szCs w:val="23"/>
        </w:rPr>
        <w:t>NOTE</w:t>
      </w:r>
      <w:r>
        <w:rPr>
          <w:i/>
          <w:iCs/>
          <w:sz w:val="23"/>
          <w:szCs w:val="23"/>
        </w:rPr>
        <w:t xml:space="preserve">: This provision intends to give an option to persons who may be perpetually in possession of unpublished price sensitive information and enabling them to trade in securities in a compliant manner. This provision would enable the formulation of a trading plan by an insider to enable him to plan for trades to be executed in future. By doing so, the possession of unpublished price sensitive information when a trade under a trading plan is actually executed would not prohibit the execution of such trades that he had pre-decided even before the unpublished price sensitive information came into being. </w:t>
      </w:r>
      <w:r>
        <w:rPr>
          <w:b/>
          <w:bCs/>
          <w:i/>
          <w:iCs/>
          <w:sz w:val="23"/>
          <w:szCs w:val="23"/>
        </w:rPr>
        <w:t xml:space="preserve">[11] </w:t>
      </w:r>
      <w:r>
        <w:rPr>
          <w:b/>
          <w:bCs/>
          <w:i/>
          <w:iCs/>
          <w:sz w:val="23"/>
          <w:szCs w:val="23"/>
        </w:rPr>
        <w:t>[14]</w:t>
      </w:r>
    </w:p>
    <w:p>
      <w:pPr>
        <w:pStyle w:val="ListParagraph"/>
        <w:ind w:left="360" w:hanging="0"/>
        <w:rPr>
          <w:sz w:val="23"/>
          <w:szCs w:val="23"/>
        </w:rPr>
      </w:pPr>
      <w:r>
        <w:rPr>
          <w:b/>
          <w:sz w:val="23"/>
          <w:szCs w:val="23"/>
        </w:rPr>
        <w:t>(2)</w:t>
      </w:r>
      <w:r>
        <w:rPr>
          <w:sz w:val="23"/>
          <w:szCs w:val="23"/>
        </w:rPr>
        <w:t xml:space="preserve"> Such trading plan shall:– </w:t>
      </w:r>
    </w:p>
    <w:p>
      <w:pPr>
        <w:pStyle w:val="ListParagraph"/>
        <w:ind w:left="360" w:hanging="0"/>
        <w:rPr>
          <w:sz w:val="23"/>
          <w:szCs w:val="23"/>
        </w:rPr>
      </w:pPr>
      <w:r>
        <w:rPr>
          <w:sz w:val="23"/>
          <w:szCs w:val="23"/>
        </w:rPr>
        <w:t xml:space="preserve">(i) not entail commencement of trading on behalf of the insider earlier than six months from the public disclosure of the plan; </w:t>
      </w:r>
    </w:p>
    <w:p>
      <w:pPr>
        <w:pStyle w:val="ListParagraph"/>
        <w:ind w:left="360" w:hanging="0"/>
        <w:rPr>
          <w:i/>
          <w:i/>
          <w:iCs/>
          <w:sz w:val="23"/>
          <w:szCs w:val="23"/>
        </w:rPr>
      </w:pPr>
      <w:r>
        <w:rPr>
          <w:b/>
          <w:bCs/>
          <w:i/>
          <w:iCs/>
          <w:sz w:val="23"/>
          <w:szCs w:val="23"/>
        </w:rPr>
        <w:t>NOTE</w:t>
      </w:r>
      <w:r>
        <w:rPr>
          <w:i/>
          <w:iCs/>
          <w:sz w:val="23"/>
          <w:szCs w:val="23"/>
        </w:rPr>
        <w:t xml:space="preserve">: It is intended that to get the benefit of a trading plan, a cool-off period of six months is necessary. Such a period is considered reasonably long for unpublished price sensitive information that is in possession of the insider when formulating the trading plan, to become generally available. It is also considered to be a reasonable period for a time lag in which new unpublished price sensitive information may come into being without adversely affecting the trading plan formulated earlier. In any case, it should be remembered that this is only a statutory cool-off period and would not grant immunity from action if the insider were to be in possession of the same unpublished price sensitive information both at the time of formulation of the plan and implementation of the same. </w:t>
      </w:r>
    </w:p>
    <w:p>
      <w:pPr>
        <w:pStyle w:val="ListParagraph"/>
        <w:ind w:left="360" w:hanging="0"/>
        <w:rPr>
          <w:i/>
          <w:i/>
          <w:iCs/>
          <w:sz w:val="23"/>
          <w:szCs w:val="23"/>
        </w:rPr>
      </w:pPr>
      <w:r>
        <w:rPr>
          <w:i/>
          <w:iCs/>
          <w:sz w:val="23"/>
          <w:szCs w:val="23"/>
        </w:rPr>
        <w:t xml:space="preserve">(ii) not entail trading for the period between the twentieth trading day prior to the last day of any financial period for which results are required to be announced by the issuer of the securities and the second trading day after the disclosure of such financial results; </w:t>
      </w:r>
    </w:p>
    <w:p>
      <w:pPr>
        <w:pStyle w:val="ListParagraph"/>
        <w:ind w:left="360" w:hanging="0"/>
        <w:rPr>
          <w:i/>
          <w:i/>
          <w:iCs/>
          <w:sz w:val="23"/>
          <w:szCs w:val="23"/>
        </w:rPr>
      </w:pPr>
      <w:r>
        <w:rPr>
          <w:b/>
          <w:bCs/>
          <w:i/>
          <w:iCs/>
          <w:sz w:val="23"/>
          <w:szCs w:val="23"/>
        </w:rPr>
        <w:t>NOTE</w:t>
      </w:r>
      <w:r>
        <w:rPr>
          <w:i/>
          <w:iCs/>
          <w:sz w:val="23"/>
          <w:szCs w:val="23"/>
        </w:rPr>
        <w:t xml:space="preserve">: Since the trading plan is envisaged to be an exception to the general rule prohibiting trading by insiders when in possession of unpublished price sensitive information, it is important that the trading plan does not entail trading for a reasonable period around the declaration of financial results as that would generate unpublished price sensitive information. </w:t>
      </w:r>
    </w:p>
    <w:p>
      <w:pPr>
        <w:pStyle w:val="ListParagraph"/>
        <w:ind w:left="360" w:hanging="0"/>
        <w:rPr>
          <w:i/>
          <w:i/>
          <w:iCs/>
          <w:sz w:val="23"/>
          <w:szCs w:val="23"/>
        </w:rPr>
      </w:pPr>
      <w:r>
        <w:rPr>
          <w:i/>
          <w:iCs/>
          <w:sz w:val="23"/>
          <w:szCs w:val="23"/>
        </w:rPr>
        <w:t>(iii) entail trading for a period of not less than twelve months;</w:t>
      </w:r>
    </w:p>
    <w:p>
      <w:pPr>
        <w:pStyle w:val="ListParagraph"/>
        <w:ind w:left="360" w:hanging="0"/>
        <w:rPr>
          <w:sz w:val="23"/>
          <w:szCs w:val="23"/>
        </w:rPr>
      </w:pPr>
      <w:r>
        <w:rPr>
          <w:b/>
          <w:bCs/>
          <w:i/>
          <w:iCs/>
          <w:sz w:val="23"/>
          <w:szCs w:val="23"/>
        </w:rPr>
        <w:t>NOTE</w:t>
      </w:r>
      <w:r>
        <w:rPr>
          <w:i/>
          <w:iCs/>
          <w:sz w:val="23"/>
          <w:szCs w:val="23"/>
        </w:rPr>
        <w:t xml:space="preserve">: It is intended that it would be undesirable to have frequent announcements of trading plans for short periods of time rendering meaningless the defence of a reasonable time gap between the decision to trade and the actual trade. Hence it is felt that a reasonable time would be twelve months. </w:t>
      </w:r>
    </w:p>
    <w:p>
      <w:pPr>
        <w:pStyle w:val="ListParagraph"/>
        <w:ind w:left="360" w:hanging="0"/>
        <w:rPr>
          <w:sz w:val="23"/>
          <w:szCs w:val="23"/>
        </w:rPr>
      </w:pPr>
      <w:r>
        <w:rPr>
          <w:sz w:val="23"/>
          <w:szCs w:val="23"/>
        </w:rPr>
        <w:t xml:space="preserve">(iv) not entail overlap of any period for which another trading plan is already in existence; </w:t>
      </w:r>
    </w:p>
    <w:p>
      <w:pPr>
        <w:pStyle w:val="ListParagraph"/>
        <w:ind w:left="360" w:hanging="0"/>
        <w:rPr>
          <w:i/>
          <w:i/>
          <w:iCs/>
          <w:sz w:val="23"/>
          <w:szCs w:val="23"/>
        </w:rPr>
      </w:pPr>
      <w:r>
        <w:rPr>
          <w:b/>
          <w:bCs/>
          <w:i/>
          <w:iCs/>
          <w:sz w:val="23"/>
          <w:szCs w:val="23"/>
        </w:rPr>
        <w:t>NOTE</w:t>
      </w:r>
      <w:r>
        <w:rPr>
          <w:i/>
          <w:iCs/>
          <w:sz w:val="23"/>
          <w:szCs w:val="23"/>
        </w:rPr>
        <w:t>: It is intended that it would be undesirable to have multiple trading plans operating during the same time period. Since it would be possible for an insider to time the publication of the unpublished price sensitive information to make it generally available instead of timing the trades, it is important not to have the ability to initiate more than one plan covering the same time period.</w:t>
      </w:r>
    </w:p>
    <w:p>
      <w:pPr>
        <w:pStyle w:val="ListParagraph"/>
        <w:ind w:left="360" w:hanging="0"/>
        <w:rPr>
          <w:sz w:val="23"/>
          <w:szCs w:val="23"/>
        </w:rPr>
      </w:pPr>
      <w:r>
        <w:rPr>
          <w:sz w:val="23"/>
          <w:szCs w:val="23"/>
        </w:rPr>
        <w:t xml:space="preserve">(v) set out either the value of trades to be effected or the number of securities to be traded along with the nature of the trade and the intervals at, or dates on which such trades shall be effected; and </w:t>
      </w:r>
    </w:p>
    <w:p>
      <w:pPr>
        <w:pStyle w:val="ListParagraph"/>
        <w:ind w:left="360" w:hanging="0"/>
        <w:rPr>
          <w:sz w:val="23"/>
          <w:szCs w:val="23"/>
        </w:rPr>
      </w:pPr>
      <w:r>
        <w:rPr>
          <w:b/>
          <w:bCs/>
          <w:i/>
          <w:iCs/>
          <w:sz w:val="23"/>
          <w:szCs w:val="23"/>
        </w:rPr>
        <w:t>NOTE</w:t>
      </w:r>
      <w:r>
        <w:rPr>
          <w:i/>
          <w:iCs/>
          <w:sz w:val="23"/>
          <w:szCs w:val="23"/>
        </w:rPr>
        <w:t xml:space="preserve">: It is intended that while regulations should not be too prescriptive and rigid about what a trading plan should entail, they should stipulate certain basic parameters that a trading plan should conform to and within which, the plan may be formulated with full flexibility. The nature of the trades entailed in the trading plan i.e. acquisition or disposal should be set out. The trading plan may set out the value of securities or the number of securities to be invested or divested. Specific dates or specific time intervals may be set out in the plan. </w:t>
      </w:r>
    </w:p>
    <w:p>
      <w:pPr>
        <w:pStyle w:val="ListParagraph"/>
        <w:ind w:left="360" w:hanging="0"/>
        <w:rPr>
          <w:sz w:val="23"/>
          <w:szCs w:val="23"/>
        </w:rPr>
      </w:pPr>
      <w:r>
        <w:rPr>
          <w:sz w:val="23"/>
          <w:szCs w:val="23"/>
        </w:rPr>
        <w:t>(vi) not entail trading in securities for market abuse.</w:t>
      </w:r>
    </w:p>
    <w:p>
      <w:pPr>
        <w:pStyle w:val="ListParagraph"/>
        <w:ind w:left="360" w:hanging="0"/>
        <w:rPr>
          <w:sz w:val="23"/>
          <w:szCs w:val="23"/>
        </w:rPr>
      </w:pPr>
      <w:r>
        <w:rPr>
          <w:i/>
          <w:iCs/>
          <w:sz w:val="23"/>
          <w:szCs w:val="23"/>
        </w:rPr>
        <w:t xml:space="preserve">NOTE: Trading on the basis of such a trading plan would not grant absolute immunity from bringing proceedings for market abuse. For instance, in the event of manipulative timing of the release of unpublished price sensitive information to ensure that trading under a trading plan becomes lucrative in circumvention of regulation 4 being detected, it would be open to initiate proceedings for alleged breach of SEBI (Prohibition of Fraudulent and Unfair Trade Practices Relating to the Securities Market) Regulations, 2003. </w:t>
      </w:r>
      <w:r>
        <w:rPr>
          <w:b/>
          <w:bCs/>
          <w:i/>
          <w:iCs/>
          <w:sz w:val="23"/>
          <w:szCs w:val="23"/>
        </w:rPr>
        <w:t xml:space="preserve">[2] </w:t>
      </w:r>
      <w:r>
        <w:rPr>
          <w:b/>
          <w:bCs/>
          <w:i/>
          <w:iCs/>
          <w:sz w:val="23"/>
          <w:szCs w:val="23"/>
        </w:rPr>
        <w:t>[2]</w:t>
      </w:r>
    </w:p>
    <w:p>
      <w:pPr>
        <w:pStyle w:val="ListParagraph"/>
        <w:ind w:left="360" w:hanging="0"/>
        <w:rPr>
          <w:sz w:val="23"/>
          <w:szCs w:val="23"/>
        </w:rPr>
      </w:pPr>
      <w:r>
        <w:rPr>
          <w:b/>
          <w:sz w:val="23"/>
          <w:szCs w:val="23"/>
        </w:rPr>
        <w:t>(3)</w:t>
      </w:r>
      <w:r>
        <w:rPr>
          <w:sz w:val="23"/>
          <w:szCs w:val="23"/>
        </w:rPr>
        <w:t xml:space="preserve"> The compliance officer shall review the trading plan to assess whether the plan would have any potential for violation of these regulations and shall be entitled to seek such express undertakings as may be necessary to enable such assessment and to approve and monitor the implementation of the plan. </w:t>
      </w:r>
    </w:p>
    <w:p>
      <w:pPr>
        <w:pStyle w:val="ListParagraph"/>
        <w:ind w:left="360" w:hanging="0"/>
        <w:rPr>
          <w:sz w:val="23"/>
          <w:szCs w:val="23"/>
        </w:rPr>
      </w:pPr>
      <w:r>
        <w:rPr>
          <w:sz w:val="23"/>
          <w:szCs w:val="23"/>
        </w:rPr>
        <w:t>21[Provided that pre-clearance of trades shall not be required for a trade executed as per an approved trading plan.</w:t>
      </w:r>
    </w:p>
    <w:p>
      <w:pPr>
        <w:pStyle w:val="ListParagraph"/>
        <w:ind w:left="360" w:hanging="0"/>
        <w:rPr>
          <w:sz w:val="23"/>
          <w:szCs w:val="23"/>
        </w:rPr>
      </w:pPr>
      <w:r>
        <w:rPr>
          <w:sz w:val="23"/>
          <w:szCs w:val="23"/>
        </w:rPr>
      </w:r>
    </w:p>
    <w:p>
      <w:pPr>
        <w:pStyle w:val="ListParagraph"/>
        <w:ind w:left="360" w:hanging="0"/>
        <w:rPr>
          <w:sz w:val="23"/>
          <w:szCs w:val="23"/>
        </w:rPr>
      </w:pPr>
      <w:r>
        <w:rPr>
          <w:sz w:val="23"/>
          <w:szCs w:val="23"/>
        </w:rPr>
        <w:t xml:space="preserve">Provided further that trading window norms and restrictions on contra trade shall not be applicable for trades carried out in accordance with an approved trading plan.] </w:t>
      </w:r>
    </w:p>
    <w:p>
      <w:pPr>
        <w:pStyle w:val="ListParagraph"/>
        <w:ind w:left="360" w:hanging="0"/>
        <w:rPr>
          <w:sz w:val="23"/>
          <w:szCs w:val="23"/>
        </w:rPr>
      </w:pPr>
      <w:r>
        <w:rPr>
          <w:b/>
          <w:bCs/>
          <w:i/>
          <w:iCs/>
          <w:sz w:val="23"/>
          <w:szCs w:val="23"/>
        </w:rPr>
        <w:t>NOTE</w:t>
      </w:r>
      <w:r>
        <w:rPr>
          <w:i/>
          <w:iCs/>
          <w:sz w:val="23"/>
          <w:szCs w:val="23"/>
        </w:rPr>
        <w:t xml:space="preserve">: It is intended that the compliance officer would have to review and approve the plan. For doing so, he may need the insider to declare that he is not in possession of unpublished price sensitive information or that he would ensure that any unpublished price sensitive information in his possession becomes generally available before he commences executing his trades. Once satisfied, he may approve the trading plan, which would then have to be implemented in accordance with these regulations. </w:t>
      </w:r>
      <w:r>
        <w:rPr>
          <w:b/>
          <w:bCs/>
          <w:i/>
          <w:iCs/>
          <w:sz w:val="23"/>
          <w:szCs w:val="23"/>
        </w:rPr>
        <w:t xml:space="preserve">[9] </w:t>
      </w:r>
      <w:r>
        <w:rPr>
          <w:b/>
          <w:bCs/>
          <w:i/>
          <w:iCs/>
          <w:sz w:val="23"/>
          <w:szCs w:val="23"/>
        </w:rPr>
        <w:t>[12]</w:t>
      </w:r>
    </w:p>
    <w:p>
      <w:pPr>
        <w:pStyle w:val="ListParagraph"/>
        <w:ind w:left="360" w:hanging="0"/>
        <w:rPr>
          <w:sz w:val="23"/>
          <w:szCs w:val="23"/>
        </w:rPr>
      </w:pPr>
      <w:r>
        <w:rPr>
          <w:b/>
          <w:sz w:val="23"/>
          <w:szCs w:val="23"/>
        </w:rPr>
        <w:t>(4)</w:t>
      </w:r>
      <w:r>
        <w:rPr>
          <w:sz w:val="23"/>
          <w:szCs w:val="23"/>
        </w:rPr>
        <w:t xml:space="preserve"> The trading plan once approved shall be irrevocable and the insider shall mandatorily have to implement the plan, without being entitled to either deviate from it or to execute any trade in the securities outside the scope of the trading plan. </w:t>
      </w:r>
    </w:p>
    <w:p>
      <w:pPr>
        <w:pStyle w:val="ListParagraph"/>
        <w:ind w:left="360" w:hanging="0"/>
        <w:rPr>
          <w:sz w:val="23"/>
          <w:szCs w:val="23"/>
        </w:rPr>
      </w:pPr>
      <w:r>
        <w:rPr>
          <w:i/>
          <w:iCs/>
          <w:sz w:val="23"/>
          <w:szCs w:val="23"/>
        </w:rPr>
        <w:t xml:space="preserve">Provided that </w:t>
      </w:r>
      <w:r>
        <w:rPr>
          <w:sz w:val="23"/>
          <w:szCs w:val="23"/>
        </w:rPr>
        <w:t xml:space="preserve">the implementation of the trading plan shall not be commenced if any unpublished price sensitive information in possession of the insider at the time of formulation of the plan has not become generally available at the time of the commencement of implementation and in such event the compliance officer shall confirm that the commencement ought to be deferred until such unpublished price sensitive information becomes generally available information so as to avoid a violation of sub-regulation (1) of regulation 4. </w:t>
      </w:r>
    </w:p>
    <w:p>
      <w:pPr>
        <w:pStyle w:val="ListParagraph"/>
        <w:ind w:left="360" w:hanging="0"/>
        <w:rPr>
          <w:sz w:val="23"/>
          <w:szCs w:val="23"/>
        </w:rPr>
      </w:pPr>
      <w:r>
        <w:rPr>
          <w:b/>
          <w:bCs/>
          <w:i/>
          <w:iCs/>
          <w:sz w:val="23"/>
          <w:szCs w:val="23"/>
        </w:rPr>
        <w:t>NOTE</w:t>
      </w:r>
      <w:r>
        <w:rPr>
          <w:i/>
          <w:iCs/>
          <w:sz w:val="23"/>
          <w:szCs w:val="23"/>
        </w:rPr>
        <w:t xml:space="preserve">: It is intended that since the trading plan is an exception to the general rule that an insider should not trade when in possession of unpublished price sensitive information, changing the plan or trading outside the same would negate the intent behind the exception. Other investors in the market, too, would factor the impact of the trading plan on their own trading decisions and in price discovery. Therefore, it is not fair or desirable to permit the insider to deviate from the trading plan based on which others in the market have assessed their views on the securities.The proviso is intended to address the prospect that despite the six-month gap between the formulation of the trading plan and its commencement, the unpublished price sensitive information in possession of the insider is still not generally available. In such a situation, commencement of the plan would conflict with the over-riding principle that trades should not be executed when in possession of such information. If the very same unpublished price sensitive information is still in the insider’s possession, the commencement of execution of the trading plan ought to be deferred. </w:t>
      </w:r>
      <w:r>
        <w:rPr>
          <w:b/>
          <w:bCs/>
          <w:i/>
          <w:iCs/>
          <w:sz w:val="23"/>
          <w:szCs w:val="23"/>
        </w:rPr>
        <w:t xml:space="preserve">[4] </w:t>
      </w:r>
      <w:r>
        <w:rPr>
          <w:b/>
          <w:bCs/>
          <w:i/>
          <w:iCs/>
          <w:sz w:val="23"/>
          <w:szCs w:val="23"/>
        </w:rPr>
        <w:t>[4]</w:t>
      </w:r>
    </w:p>
    <w:p>
      <w:pPr>
        <w:pStyle w:val="ListParagraph"/>
        <w:ind w:left="360" w:hanging="0"/>
        <w:rPr>
          <w:sz w:val="23"/>
          <w:szCs w:val="23"/>
        </w:rPr>
      </w:pPr>
      <w:r>
        <w:rPr>
          <w:b/>
          <w:sz w:val="23"/>
          <w:szCs w:val="23"/>
        </w:rPr>
        <w:t>(5)</w:t>
      </w:r>
      <w:r>
        <w:rPr>
          <w:sz w:val="23"/>
          <w:szCs w:val="23"/>
        </w:rPr>
        <w:t xml:space="preserve"> Upon approval of the trading plan, the compliance officer shall notify the plan to the stock exchanges on which the securities are listed. </w:t>
      </w:r>
    </w:p>
    <w:p>
      <w:pPr>
        <w:pStyle w:val="ListParagraph"/>
        <w:ind w:left="360" w:hanging="0"/>
        <w:rPr>
          <w:sz w:val="23"/>
          <w:szCs w:val="23"/>
        </w:rPr>
      </w:pPr>
      <w:r>
        <w:rPr>
          <w:b/>
          <w:bCs/>
          <w:i/>
          <w:iCs/>
          <w:sz w:val="23"/>
          <w:szCs w:val="23"/>
        </w:rPr>
        <w:t>NOTE</w:t>
      </w:r>
      <w:r>
        <w:rPr>
          <w:i/>
          <w:iCs/>
          <w:sz w:val="23"/>
          <w:szCs w:val="23"/>
        </w:rPr>
        <w:t xml:space="preserve">: It is intended that given the material exception to the prohibitory rule in regulation 4, a trading plan is required to be publicly disseminated. Investors in the market at large would also factor the potential pointers in the trading plan in their own assessment of the securities and price discovery for them on the premise of how the insiders perceive the prospects or approach the securities in their trading plan. </w:t>
      </w:r>
      <w:r>
        <w:rPr>
          <w:b/>
          <w:bCs/>
          <w:i/>
          <w:iCs/>
          <w:sz w:val="23"/>
          <w:szCs w:val="23"/>
        </w:rPr>
        <w:t xml:space="preserve">[19]  </w:t>
      </w:r>
      <w:r>
        <w:rPr>
          <w:b/>
          <w:bCs/>
          <w:i/>
          <w:iCs/>
          <w:sz w:val="23"/>
          <w:szCs w:val="23"/>
        </w:rPr>
        <w:t>[18]</w:t>
      </w:r>
    </w:p>
    <w:p>
      <w:pPr>
        <w:pStyle w:val="ListParagraph"/>
        <w:ind w:left="360" w:hanging="0"/>
        <w:rPr>
          <w:sz w:val="23"/>
          <w:szCs w:val="23"/>
        </w:rPr>
      </w:pPr>
      <w:r>
        <w:rPr>
          <w:sz w:val="23"/>
          <w:szCs w:val="23"/>
        </w:rPr>
      </w:r>
    </w:p>
    <w:p>
      <w:pPr>
        <w:pStyle w:val="ListParagraph"/>
        <w:ind w:left="360" w:hanging="0"/>
        <w:rPr>
          <w:sz w:val="23"/>
          <w:szCs w:val="23"/>
        </w:rPr>
      </w:pPr>
      <w:r>
        <w:rPr>
          <w:b/>
          <w:sz w:val="23"/>
          <w:szCs w:val="23"/>
        </w:rPr>
        <w:t>6(2)</w:t>
      </w:r>
      <w:r>
        <w:rPr>
          <w:sz w:val="23"/>
          <w:szCs w:val="23"/>
        </w:rPr>
        <w:t xml:space="preserve"> The disclosures to be made by any person under this Chapter shall include those relating to trading by such person’s immediate relatives, and by any other person for whom such person takes trading decisions. </w:t>
      </w:r>
      <w:r>
        <w:rPr>
          <w:b/>
          <w:bCs/>
          <w:sz w:val="23"/>
          <w:szCs w:val="23"/>
        </w:rPr>
        <w:t xml:space="preserve">[17] </w:t>
      </w:r>
      <w:r>
        <w:rPr>
          <w:b/>
          <w:bCs/>
          <w:sz w:val="23"/>
          <w:szCs w:val="23"/>
        </w:rPr>
        <w:t>[20]</w:t>
      </w:r>
      <w:r>
        <w:rPr>
          <w:sz w:val="23"/>
          <w:szCs w:val="23"/>
        </w:rPr>
        <w:br/>
      </w:r>
    </w:p>
    <w:p>
      <w:pPr>
        <w:pStyle w:val="ListParagraph"/>
        <w:numPr>
          <w:ilvl w:val="0"/>
          <w:numId w:val="1"/>
        </w:numPr>
        <w:rPr>
          <w:rFonts w:cs="Segoe UI"/>
          <w:b/>
          <w:b/>
          <w:bCs/>
          <w:color w:val="282829"/>
          <w:highlight w:val="white"/>
        </w:rPr>
      </w:pPr>
      <w:r>
        <w:rPr>
          <w:rFonts w:cs="Segoe UI"/>
          <w:b/>
          <w:bCs/>
          <w:color w:val="FF0000"/>
          <w:shd w:fill="FFFFFF" w:val="clear"/>
        </w:rPr>
        <w:t>When</w:t>
      </w:r>
      <w:r>
        <w:rPr>
          <w:rFonts w:cs="Segoe UI"/>
          <w:b/>
          <w:bCs/>
          <w:color w:val="282829"/>
          <w:shd w:fill="FFFFFF" w:val="clear"/>
        </w:rPr>
        <w:t xml:space="preserve"> do CEOs and their families </w:t>
      </w:r>
      <w:r>
        <w:rPr>
          <w:rFonts w:cs="Segoe UI"/>
          <w:b/>
          <w:bCs/>
          <w:color w:val="FF0000"/>
          <w:shd w:fill="FFFFFF" w:val="clear"/>
        </w:rPr>
        <w:t>trade</w:t>
      </w:r>
      <w:r>
        <w:rPr>
          <w:rFonts w:cs="Segoe UI"/>
          <w:b/>
          <w:bCs/>
          <w:color w:val="282829"/>
          <w:shd w:fill="FFFFFF" w:val="clear"/>
        </w:rPr>
        <w:t xml:space="preserve"> stock from their company </w:t>
      </w:r>
      <w:r>
        <w:rPr>
          <w:rFonts w:cs="Segoe UI"/>
          <w:b/>
          <w:bCs/>
          <w:color w:val="FF0000"/>
          <w:shd w:fill="FFFFFF" w:val="clear"/>
        </w:rPr>
        <w:t>without it being insider trading</w:t>
      </w:r>
      <w:r>
        <w:rPr>
          <w:rFonts w:cs="Segoe UI"/>
          <w:b/>
          <w:bCs/>
          <w:color w:val="282829"/>
          <w:shd w:fill="FFFFFF" w:val="clear"/>
        </w:rPr>
        <w:t>?</w:t>
      </w:r>
    </w:p>
    <w:p>
      <w:pPr>
        <w:pStyle w:val="ListParagraph"/>
        <w:ind w:left="360" w:hanging="0"/>
        <w:rPr>
          <w:sz w:val="23"/>
          <w:szCs w:val="23"/>
        </w:rPr>
      </w:pPr>
      <w:r>
        <w:rPr>
          <w:sz w:val="23"/>
          <w:szCs w:val="23"/>
        </w:rPr>
      </w:r>
    </w:p>
    <w:p>
      <w:pPr>
        <w:pStyle w:val="ListParagraph"/>
        <w:ind w:left="360" w:hanging="0"/>
        <w:rPr>
          <w:b/>
          <w:b/>
          <w:sz w:val="23"/>
          <w:szCs w:val="23"/>
        </w:rPr>
      </w:pPr>
      <w:r>
        <w:rPr>
          <w:b/>
          <w:sz w:val="23"/>
          <w:szCs w:val="23"/>
        </w:rPr>
        <w:t>Schedule B</w:t>
      </w:r>
    </w:p>
    <w:p>
      <w:pPr>
        <w:pStyle w:val="ListParagraph"/>
        <w:ind w:left="360" w:hanging="0"/>
        <w:rPr>
          <w:sz w:val="23"/>
          <w:szCs w:val="23"/>
        </w:rPr>
      </w:pPr>
      <w:r>
        <w:rPr>
          <w:sz w:val="23"/>
          <w:szCs w:val="23"/>
        </w:rPr>
      </w:r>
    </w:p>
    <w:p>
      <w:pPr>
        <w:pStyle w:val="ListParagraph"/>
        <w:ind w:left="360" w:hanging="0"/>
        <w:rPr>
          <w:sz w:val="23"/>
          <w:szCs w:val="23"/>
        </w:rPr>
      </w:pPr>
      <w:r>
        <w:rPr>
          <w:szCs w:val="23"/>
          <w:vertAlign w:val="superscript"/>
        </w:rPr>
        <w:t>53</w:t>
      </w:r>
      <w:r>
        <w:rPr>
          <w:b/>
          <w:sz w:val="23"/>
          <w:szCs w:val="23"/>
        </w:rPr>
        <w:t>[4. (1)</w:t>
      </w:r>
      <w:r>
        <w:rPr>
          <w:sz w:val="23"/>
          <w:szCs w:val="23"/>
        </w:rPr>
        <w:t xml:space="preserve"> Designated persons may execute trades subject to compliance with these regulations. Towards this end, a notional trading window shall be used as an instrument of monitoring trading by the designated persons. The trading window shall be closed when the compliance officer determines that a designated person or class of designated persons can reasonably be expected to have possession of unpublished price sensitive information. Such closure shall be imposed in relation to such securities to which such unpublished price sensitive information relates. Designated persons and their immediate relatives shall not trade in securities when the trading window is closed. </w:t>
      </w:r>
    </w:p>
    <w:p>
      <w:pPr>
        <w:pStyle w:val="ListParagraph"/>
        <w:ind w:left="360" w:hanging="0"/>
        <w:rPr>
          <w:sz w:val="23"/>
          <w:szCs w:val="23"/>
        </w:rPr>
      </w:pPr>
      <w:r>
        <w:rPr>
          <w:b/>
          <w:sz w:val="23"/>
          <w:szCs w:val="23"/>
        </w:rPr>
        <w:t>(2)</w:t>
      </w:r>
      <w:r>
        <w:rPr>
          <w:sz w:val="23"/>
          <w:szCs w:val="23"/>
        </w:rPr>
        <w:t xml:space="preserve"> </w:t>
      </w:r>
      <w:r>
        <w:rPr>
          <w:sz w:val="23"/>
          <w:szCs w:val="23"/>
          <w:vertAlign w:val="superscript"/>
        </w:rPr>
        <w:t>54</w:t>
      </w:r>
      <w:r>
        <w:rPr>
          <w:sz w:val="23"/>
          <w:szCs w:val="23"/>
        </w:rPr>
        <w:t xml:space="preserve">[Trading restriction period </w:t>
      </w:r>
      <w:r>
        <w:rPr>
          <w:sz w:val="23"/>
          <w:szCs w:val="23"/>
          <w:vertAlign w:val="superscript"/>
        </w:rPr>
        <w:t>55</w:t>
      </w:r>
      <w:r>
        <w:rPr>
          <w:sz w:val="23"/>
          <w:szCs w:val="23"/>
        </w:rPr>
        <w:t>[shall] be made applicable from the end of every quarter till 48 hours after the declaration of financial results. The gap between clearance of accounts by audit committee and board meeting should be as narrow as possible and preferably on the same day to avoid leakage of material information.]</w:t>
      </w:r>
    </w:p>
    <w:p>
      <w:pPr>
        <w:pStyle w:val="ListParagraph"/>
        <w:ind w:left="360" w:hanging="0"/>
        <w:rPr>
          <w:sz w:val="23"/>
          <w:szCs w:val="23"/>
        </w:rPr>
      </w:pPr>
      <w:r>
        <w:rPr>
          <w:sz w:val="23"/>
          <w:szCs w:val="23"/>
        </w:rPr>
      </w:r>
    </w:p>
    <w:p>
      <w:pPr>
        <w:pStyle w:val="ListParagraph"/>
        <w:ind w:left="360" w:hanging="0"/>
        <w:rPr>
          <w:sz w:val="23"/>
          <w:szCs w:val="23"/>
        </w:rPr>
      </w:pPr>
      <w:r>
        <w:rPr>
          <w:b/>
          <w:sz w:val="23"/>
          <w:szCs w:val="23"/>
        </w:rPr>
        <w:t>5.</w:t>
      </w:r>
      <w:r>
        <w:rPr>
          <w:sz w:val="23"/>
          <w:szCs w:val="23"/>
        </w:rPr>
        <w:t xml:space="preserve"> The timing for re-opening of the trading window shall be determined by the compliance officer taking into account various factors including the unpublished price sensitive information in question becoming generally available and being capable of assimilation by the market, which in any event shall not be earlier than forty-eight hours after the information becomes generally available. 58[***] </w:t>
      </w:r>
    </w:p>
    <w:p>
      <w:pPr>
        <w:pStyle w:val="ListParagraph"/>
        <w:ind w:left="360" w:hanging="0"/>
        <w:rPr>
          <w:sz w:val="23"/>
          <w:szCs w:val="23"/>
        </w:rPr>
      </w:pPr>
      <w:r>
        <w:rPr>
          <w:b/>
          <w:sz w:val="23"/>
          <w:szCs w:val="23"/>
        </w:rPr>
        <w:t>6.</w:t>
      </w:r>
      <w:r>
        <w:rPr>
          <w:sz w:val="23"/>
          <w:szCs w:val="23"/>
        </w:rPr>
        <w:t xml:space="preserve"> When the trading window is open, trading by designated persons shall be subject to pre-clearance by the compliance officer, if the value of the proposed trades is above such thresholds as the board of directors may stipulate.</w:t>
      </w:r>
    </w:p>
    <w:p>
      <w:pPr>
        <w:pStyle w:val="ListParagraph"/>
        <w:ind w:left="360" w:hanging="0"/>
        <w:rPr>
          <w:sz w:val="23"/>
          <w:szCs w:val="23"/>
        </w:rPr>
      </w:pPr>
      <w:r>
        <w:rPr>
          <w:b/>
          <w:sz w:val="23"/>
          <w:szCs w:val="23"/>
        </w:rPr>
        <w:t>9.</w:t>
      </w:r>
      <w:r>
        <w:rPr>
          <w:sz w:val="23"/>
          <w:szCs w:val="23"/>
        </w:rPr>
        <w:t xml:space="preserve"> The code of conduct shall specify any reasonable timeframe, which in any event shall not be more than seven trading days, within which trades that have been pre-cleared have to be executed by the designated person, failing which fresh pre-clearance would be needed for the trades to be executed.</w:t>
        <w:br/>
      </w:r>
    </w:p>
    <w:p>
      <w:pPr>
        <w:pStyle w:val="ListParagraph"/>
        <w:numPr>
          <w:ilvl w:val="0"/>
          <w:numId w:val="1"/>
        </w:numPr>
        <w:rPr>
          <w:rFonts w:cs="Segoe UI"/>
          <w:b/>
          <w:b/>
          <w:bCs/>
          <w:color w:val="282829"/>
          <w:highlight w:val="white"/>
        </w:rPr>
      </w:pPr>
      <w:r>
        <w:rPr>
          <w:rFonts w:cs="Segoe UI"/>
          <w:b/>
          <w:bCs/>
          <w:color w:val="282829"/>
          <w:shd w:fill="FFFFFF" w:val="clear"/>
        </w:rPr>
        <w:t xml:space="preserve">What should be done by a </w:t>
      </w:r>
      <w:r>
        <w:rPr>
          <w:rFonts w:cs="Segoe UI"/>
          <w:b/>
          <w:bCs/>
          <w:color w:val="FF0000"/>
          <w:shd w:fill="FFFFFF" w:val="clear"/>
        </w:rPr>
        <w:t>company when it suspects insider trading</w:t>
      </w:r>
      <w:r>
        <w:rPr>
          <w:rFonts w:cs="Segoe UI"/>
          <w:b/>
          <w:bCs/>
          <w:color w:val="282829"/>
          <w:shd w:fill="FFFFFF" w:val="clear"/>
        </w:rPr>
        <w:t xml:space="preserve"> by an employee?</w:t>
      </w:r>
    </w:p>
    <w:p>
      <w:pPr>
        <w:pStyle w:val="ListParagraph"/>
        <w:ind w:left="360" w:hanging="0"/>
        <w:rPr>
          <w:rFonts w:cs="Segoe UI"/>
          <w:b/>
          <w:b/>
          <w:bCs/>
          <w:color w:val="282829"/>
          <w:highlight w:val="white"/>
        </w:rPr>
      </w:pPr>
      <w:r>
        <w:rPr>
          <w:rFonts w:cs="Segoe UI"/>
          <w:b/>
          <w:bCs/>
          <w:color w:val="282829"/>
          <w:highlight w:val="white"/>
        </w:rPr>
      </w:r>
    </w:p>
    <w:p>
      <w:pPr>
        <w:pStyle w:val="ListParagraph"/>
        <w:ind w:left="360" w:hanging="0"/>
        <w:rPr>
          <w:rFonts w:cs="Segoe UI"/>
          <w:b/>
          <w:b/>
          <w:bCs/>
          <w:color w:val="282829"/>
          <w:highlight w:val="white"/>
        </w:rPr>
      </w:pPr>
      <w:r>
        <w:rPr>
          <w:rFonts w:cs="Segoe UI"/>
          <w:b/>
          <w:bCs/>
          <w:color w:val="282829"/>
          <w:shd w:fill="FFFFFF" w:val="clear"/>
        </w:rPr>
        <w:t>Schedule C –</w:t>
      </w:r>
    </w:p>
    <w:p>
      <w:pPr>
        <w:pStyle w:val="ListParagraph"/>
        <w:ind w:left="360" w:hanging="0"/>
        <w:rPr>
          <w:rFonts w:cs="Segoe UI"/>
          <w:b/>
          <w:b/>
          <w:bCs/>
          <w:color w:val="282829"/>
          <w:highlight w:val="white"/>
        </w:rPr>
      </w:pPr>
      <w:r>
        <w:rPr>
          <w:rFonts w:cs="Segoe UI"/>
          <w:b/>
          <w:bCs/>
          <w:color w:val="282829"/>
          <w:highlight w:val="white"/>
        </w:rPr>
      </w:r>
    </w:p>
    <w:p>
      <w:pPr>
        <w:pStyle w:val="ListParagraph"/>
        <w:ind w:left="360" w:hanging="0"/>
        <w:rPr>
          <w:rFonts w:cs="Segoe UI"/>
          <w:bCs/>
          <w:color w:val="282829"/>
          <w:highlight w:val="white"/>
        </w:rPr>
      </w:pPr>
      <w:r>
        <w:rPr>
          <w:rFonts w:cs="Segoe UI"/>
          <w:b/>
          <w:bCs/>
          <w:color w:val="282829"/>
          <w:shd w:fill="FFFFFF" w:val="clear"/>
        </w:rPr>
        <w:t>13.</w:t>
      </w:r>
      <w:r>
        <w:rPr>
          <w:rFonts w:cs="Segoe UI"/>
          <w:bCs/>
          <w:color w:val="282829"/>
          <w:shd w:fill="FFFFFF" w:val="clear"/>
        </w:rPr>
        <w:t xml:space="preserve"> The code of conduct shall specify that in case it is observed by the 64[listed company] required to formulate a code of conduct under sub-regulation (1) 65[***]of regulation 9, that there has been a violation of these regulations, 66[it] shall 67[promptly inform the stock exchange(s) where the concerned securities are traded, in such form and such manner as may be specified by the Board from time to time].</w:t>
        <w:br/>
      </w:r>
    </w:p>
    <w:p>
      <w:pPr>
        <w:pStyle w:val="ListParagraph"/>
        <w:numPr>
          <w:ilvl w:val="0"/>
          <w:numId w:val="1"/>
        </w:numPr>
        <w:rPr>
          <w:rFonts w:cs="Segoe UI"/>
          <w:b/>
          <w:b/>
          <w:bCs/>
          <w:color w:val="282829"/>
          <w:highlight w:val="white"/>
        </w:rPr>
      </w:pPr>
      <w:r>
        <w:rPr>
          <w:rFonts w:cs="Segoe UI"/>
          <w:b/>
          <w:bCs/>
          <w:color w:val="282829"/>
          <w:shd w:fill="FFFFFF" w:val="clear"/>
        </w:rPr>
        <w:t xml:space="preserve">Who is a </w:t>
      </w:r>
      <w:r>
        <w:rPr>
          <w:rFonts w:cs="Segoe UI"/>
          <w:b/>
          <w:bCs/>
          <w:color w:val="FF0000"/>
          <w:shd w:fill="FFFFFF" w:val="clear"/>
        </w:rPr>
        <w:t>compliance officer</w:t>
      </w:r>
      <w:r>
        <w:rPr>
          <w:rFonts w:cs="Segoe UI"/>
          <w:b/>
          <w:bCs/>
          <w:color w:val="282829"/>
          <w:shd w:fill="FFFFFF" w:val="clear"/>
        </w:rPr>
        <w:t xml:space="preserve"> and what is its </w:t>
      </w:r>
      <w:r>
        <w:rPr>
          <w:rFonts w:cs="Segoe UI"/>
          <w:b/>
          <w:bCs/>
          <w:color w:val="FF0000"/>
          <w:shd w:fill="FFFFFF" w:val="clear"/>
        </w:rPr>
        <w:t>role in preventing Insider</w:t>
      </w:r>
      <w:r>
        <w:rPr>
          <w:rFonts w:cs="Segoe UI"/>
          <w:b/>
          <w:bCs/>
          <w:color w:val="282829"/>
          <w:shd w:fill="FFFFFF" w:val="clear"/>
        </w:rPr>
        <w:t xml:space="preserve"> trading?</w:t>
      </w:r>
    </w:p>
    <w:p>
      <w:pPr>
        <w:pStyle w:val="ListParagraph"/>
        <w:ind w:left="360" w:hanging="0"/>
        <w:rPr>
          <w:rFonts w:cs="Segoe UI"/>
          <w:b/>
          <w:b/>
          <w:bCs/>
          <w:color w:val="282829"/>
          <w:highlight w:val="white"/>
        </w:rPr>
      </w:pPr>
      <w:r>
        <w:rPr>
          <w:rFonts w:cs="Segoe UI"/>
          <w:b/>
          <w:bCs/>
          <w:color w:val="282829"/>
          <w:highlight w:val="white"/>
        </w:rPr>
      </w:r>
    </w:p>
    <w:p>
      <w:pPr>
        <w:pStyle w:val="ListParagraph"/>
        <w:ind w:left="0" w:hanging="0"/>
        <w:rPr>
          <w:highlight w:val="red"/>
        </w:rPr>
      </w:pPr>
      <w:r>
        <w:rPr>
          <w:b/>
          <w:highlight w:val="red"/>
        </w:rPr>
        <w:t>9 (3)</w:t>
      </w:r>
      <w:r>
        <w:rPr>
          <w:highlight w:val="red"/>
        </w:rPr>
        <w:t xml:space="preserve"> Every listed company, 39[intermediary] and other persons formulating a code of conduct shall identify and designate a compliance officer to administer the code of conduct and other requirements under these regulations. </w:t>
      </w:r>
    </w:p>
    <w:p>
      <w:pPr>
        <w:pStyle w:val="ListParagraph"/>
        <w:ind w:left="0" w:hanging="0"/>
        <w:rPr>
          <w:i/>
          <w:i/>
          <w:iCs/>
        </w:rPr>
      </w:pPr>
      <w:r>
        <w:rPr>
          <w:b/>
          <w:bCs/>
          <w:i/>
          <w:iCs/>
        </w:rPr>
        <w:t>NOTE</w:t>
      </w:r>
      <w:r>
        <w:rPr>
          <w:i/>
          <w:iCs/>
        </w:rPr>
        <w:t>: This provision is intended to designate a senior officer as the compliance officer with the responsibility to administer the code of conduct and monitor compliance with these regulations.</w:t>
      </w:r>
    </w:p>
    <w:p>
      <w:pPr>
        <w:pStyle w:val="ListParagraph"/>
        <w:ind w:left="0" w:hanging="0"/>
        <w:rPr>
          <w:i/>
          <w:i/>
          <w:iCs/>
        </w:rPr>
      </w:pPr>
      <w:r>
        <w:rPr>
          <w:i/>
          <w:iCs/>
        </w:rPr>
      </w:r>
    </w:p>
    <w:p>
      <w:pPr>
        <w:pStyle w:val="ListParagraph"/>
        <w:ind w:left="0" w:hanging="0"/>
        <w:rPr/>
      </w:pPr>
      <w:r>
        <w:rPr>
          <w:b/>
          <w:vertAlign w:val="superscript"/>
        </w:rPr>
        <w:t>40</w:t>
      </w:r>
      <w:r>
        <w:rPr>
          <w:b/>
        </w:rPr>
        <w:t>[(4)</w:t>
      </w:r>
      <w:r>
        <w:rPr/>
        <w:t xml:space="preserve"> For the purpose of sub regulation (1) and (2), the board of directors or such other analogous authority shall in consultation with the compliance officer specify the designated persons to be covered by the code of conduct on the basis of their role and function in the organisation and the access that such role and function would provide to unpublished price sensitive information in addition to seniority and professional designation and shall include:- </w:t>
      </w:r>
    </w:p>
    <w:p>
      <w:pPr>
        <w:pStyle w:val="ListParagraph"/>
        <w:ind w:left="0" w:hanging="0"/>
        <w:rPr/>
      </w:pPr>
      <w:r>
        <w:rPr/>
        <w:t xml:space="preserve">(i) Employees of such listed company, intermediary or fiduciary designated on the basis of their functional role or access to unpublished price sensitive information in the organization by their board of directors or analogous body; </w:t>
      </w:r>
    </w:p>
    <w:p>
      <w:pPr>
        <w:pStyle w:val="ListParagraph"/>
        <w:ind w:left="0" w:hanging="0"/>
        <w:rPr/>
      </w:pPr>
      <w:r>
        <w:rPr/>
        <w:t xml:space="preserve">(ii) Employees of material subsidiaries of such listed companies designated on the basis of their functional role or access to unpublished price sensitive information in the organization by their board of directors; </w:t>
      </w:r>
    </w:p>
    <w:p>
      <w:pPr>
        <w:pStyle w:val="ListParagraph"/>
        <w:ind w:left="0" w:hanging="0"/>
        <w:rPr/>
      </w:pPr>
      <w:r>
        <w:rPr/>
        <w:t xml:space="preserve">(iii) All promoters of listed companies and promoters who are individuals or investment companies for intermediaries or fiduciaries; </w:t>
      </w:r>
    </w:p>
    <w:p>
      <w:pPr>
        <w:pStyle w:val="ListParagraph"/>
        <w:ind w:left="0" w:hanging="0"/>
        <w:rPr/>
      </w:pPr>
      <w:r>
        <w:rPr/>
        <w:t xml:space="preserve">(iv) Chief Executive Officer and employees upto two levels below Chief Executive Officer of such listed company, intermediary, fiduciary and its material subsidiaries irrespective of their functional role in the company or ability to have access to unpublished price sensitive information; </w:t>
      </w:r>
      <w:r>
        <w:rPr>
          <w:b/>
          <w:bCs/>
        </w:rPr>
        <w:t xml:space="preserve">[10] </w:t>
      </w:r>
      <w:r>
        <w:rPr>
          <w:b/>
          <w:bCs/>
        </w:rPr>
        <w:t>[10]</w:t>
      </w:r>
    </w:p>
    <w:p>
      <w:pPr>
        <w:pStyle w:val="Normal"/>
        <w:rPr/>
      </w:pPr>
      <w:r>
        <w:rPr>
          <w:b/>
        </w:rPr>
        <w:t>5 (3)</w:t>
      </w:r>
      <w:r>
        <w:rPr/>
        <w:t xml:space="preserve"> The compliance officer shall review the trading plan to assess whether the plan would have any potential for violation of these regulations and shall be entitled to seek such express undertakings as may be necessary to enable such assessment and to approve and monitor the implementation of the plan. </w:t>
      </w:r>
      <w:r>
        <w:rPr>
          <w:b/>
          <w:bCs/>
        </w:rPr>
        <w:t xml:space="preserve">[9] </w:t>
      </w:r>
      <w:r>
        <w:rPr>
          <w:b/>
          <w:bCs/>
        </w:rPr>
        <w:t>[9]</w:t>
      </w:r>
    </w:p>
    <w:p>
      <w:pPr>
        <w:pStyle w:val="Normal"/>
        <w:rPr/>
      </w:pPr>
      <w:r>
        <w:rPr>
          <w:b/>
        </w:rPr>
        <w:t>(4)</w:t>
      </w:r>
      <w:r>
        <w:rPr/>
        <w:t xml:space="preserve"> The trading plan once approved shall be irrevocable and the insider shall mandatorily have to implement the plan, without being entitled to either deviate from it or to execute any trade in the securities outside the scope of the trading plan. </w:t>
      </w:r>
      <w:r>
        <w:rPr>
          <w:b/>
          <w:bCs/>
        </w:rPr>
        <w:t xml:space="preserve">[5] </w:t>
      </w:r>
      <w:r>
        <w:rPr>
          <w:b/>
          <w:bCs/>
        </w:rPr>
        <w:t>[6]</w:t>
      </w:r>
    </w:p>
    <w:p>
      <w:pPr>
        <w:pStyle w:val="Normal"/>
        <w:rPr/>
      </w:pPr>
      <w:r>
        <w:rPr>
          <w:i/>
          <w:iCs/>
        </w:rPr>
        <w:t xml:space="preserve">Provided that </w:t>
      </w:r>
      <w:r>
        <w:rPr/>
        <w:t>the implementation of the trading plan shall not be commenced if any unpublished price sensitive information in possession of the insider at the time of formulation of the plan has not become generally available at the time of the commencement of implementation and in such event the compliance officer shall confirm that the commencement ought to be deferred until such unpublished price sensitive information becomes generally available information so as to avoid a violation of sub-regulation (1) of regulation 4.</w:t>
      </w:r>
    </w:p>
    <w:p>
      <w:pPr>
        <w:pStyle w:val="Normal"/>
        <w:rPr>
          <w:sz w:val="23"/>
          <w:szCs w:val="23"/>
        </w:rPr>
      </w:pPr>
      <w:r>
        <w:rPr>
          <w:b/>
          <w:sz w:val="23"/>
          <w:szCs w:val="23"/>
        </w:rPr>
        <w:t>(5)</w:t>
      </w:r>
      <w:r>
        <w:rPr>
          <w:sz w:val="23"/>
          <w:szCs w:val="23"/>
        </w:rPr>
        <w:t xml:space="preserve"> Upon approval of the trading plan, the compliance officer shall notify the plan to the stock exchanges on which the securities are listed. </w:t>
      </w:r>
      <w:r>
        <w:rPr>
          <w:b/>
          <w:bCs/>
          <w:sz w:val="23"/>
          <w:szCs w:val="23"/>
        </w:rPr>
        <w:t xml:space="preserve">[19] </w:t>
      </w:r>
      <w:r>
        <w:rPr>
          <w:b/>
          <w:bCs/>
          <w:sz w:val="23"/>
          <w:szCs w:val="23"/>
        </w:rPr>
        <w:t>[22]</w:t>
      </w:r>
    </w:p>
    <w:p>
      <w:pPr>
        <w:pStyle w:val="Normal"/>
        <w:rPr>
          <w:b/>
          <w:b/>
          <w:sz w:val="23"/>
          <w:szCs w:val="23"/>
        </w:rPr>
      </w:pPr>
      <w:r>
        <w:rPr>
          <w:b/>
          <w:sz w:val="23"/>
          <w:szCs w:val="23"/>
        </w:rPr>
        <w:t>Schedule B</w:t>
      </w:r>
    </w:p>
    <w:p>
      <w:pPr>
        <w:pStyle w:val="Normal"/>
        <w:rPr>
          <w:sz w:val="23"/>
          <w:szCs w:val="23"/>
        </w:rPr>
      </w:pPr>
      <w:r>
        <w:rPr>
          <w:sz w:val="23"/>
          <w:szCs w:val="23"/>
        </w:rPr>
        <w:t xml:space="preserve">1. The compliance officer shall report to the board of directors and in particular, shall provide reports to the Chairman of the Audit Committee, if any, or to the Chairman of the board of directors at such frequency as may be stipulated by the board of directors, </w:t>
      </w:r>
      <w:r>
        <w:rPr>
          <w:sz w:val="16"/>
          <w:szCs w:val="16"/>
        </w:rPr>
        <w:t>48</w:t>
      </w:r>
      <w:r>
        <w:rPr>
          <w:sz w:val="23"/>
          <w:szCs w:val="23"/>
        </w:rPr>
        <w:t>[but not less than once in a year].</w:t>
      </w:r>
    </w:p>
    <w:p>
      <w:pPr>
        <w:pStyle w:val="Normal"/>
        <w:rPr>
          <w:b/>
          <w:b/>
          <w:sz w:val="23"/>
          <w:szCs w:val="23"/>
        </w:rPr>
      </w:pPr>
      <w:r>
        <w:rPr>
          <w:b/>
          <w:sz w:val="23"/>
          <w:szCs w:val="23"/>
          <w:vertAlign w:val="superscript"/>
        </w:rPr>
        <w:t>53</w:t>
      </w:r>
      <w:r>
        <w:rPr>
          <w:b/>
          <w:sz w:val="23"/>
          <w:szCs w:val="23"/>
        </w:rPr>
        <w:t xml:space="preserve">[4. (1) </w:t>
      </w:r>
      <w:r>
        <w:rPr>
          <w:sz w:val="23"/>
          <w:szCs w:val="23"/>
        </w:rPr>
        <w:t>Designated persons may execute trades subject to compliance with these regulations. Towards this end, a notional trading window shall be used as an instrument of monitoring trading by the designated persons. The trading window shall be closed when the compliance officer determines that a designated person or class of designated persons can reasonably be expected to have possession of unpublished price sensitive information. Such closure shall be imposed in relation to such securities to which such unpublished price sensitive information relates. Designated persons and their immediate relatives shall not trade in securities when the trading window is closed.</w:t>
      </w:r>
    </w:p>
    <w:p>
      <w:pPr>
        <w:pStyle w:val="Normal"/>
        <w:rPr>
          <w:sz w:val="23"/>
          <w:szCs w:val="23"/>
        </w:rPr>
      </w:pPr>
      <w:r>
        <w:rPr>
          <w:sz w:val="23"/>
          <w:szCs w:val="23"/>
        </w:rPr>
        <w:t>5. The timing for re-opening of the trading window shall be determined by the compliance officer taking into account various factors including the unpublished price sensitive information in question becoming generally available and being capable of assimilation by the market, which in any event shall not be earlier than forty-eight hours after the information becomes generally available.</w:t>
      </w:r>
    </w:p>
    <w:p>
      <w:pPr>
        <w:pStyle w:val="Normal"/>
        <w:rPr>
          <w:sz w:val="23"/>
          <w:szCs w:val="23"/>
        </w:rPr>
      </w:pPr>
      <w:r>
        <w:rPr>
          <w:sz w:val="23"/>
          <w:szCs w:val="23"/>
        </w:rPr>
        <w:t>6. When the trading window is open, trading by designated persons shall be subject to pre-clearance by the compliance officer, if the value of the proposed trades is above such thresholds as the board of directors may stipulate</w:t>
      </w:r>
    </w:p>
    <w:p>
      <w:pPr>
        <w:pStyle w:val="Normal"/>
        <w:rPr>
          <w:sz w:val="23"/>
          <w:szCs w:val="23"/>
        </w:rPr>
      </w:pPr>
      <w:r>
        <w:rPr>
          <w:sz w:val="23"/>
          <w:szCs w:val="23"/>
        </w:rPr>
        <w:t>8. Prior to approving any trades, the compliance officer shall be entitled to seek declarations to the effect that the applicant for pre-clearance is not in possession of any unpublished price sensitive information. He shall also have regard to whether any such declaration is reasonably capable of being rendered inaccurate.</w:t>
      </w:r>
    </w:p>
    <w:p>
      <w:pPr>
        <w:pStyle w:val="Normal"/>
        <w:rPr>
          <w:sz w:val="23"/>
          <w:szCs w:val="23"/>
        </w:rPr>
      </w:pPr>
      <w:r>
        <w:rPr>
          <w:sz w:val="23"/>
          <w:szCs w:val="23"/>
        </w:rPr>
        <w:t>10. The code of conduct shall specify the period, which in any event shall not be less than six months, within which a designated person who is permitted to trade shall not execute a contra trade. The compliance officer may be empowered to grant relaxation from strict application of such restriction for reasons to be recorded in writing provided that such relaxation does not violate these regulations. Should a contra trade be executed, inadvertently or otherwise, in violation of such a restriction, the profits from such trade shall be liable to be disgorged for remittance to the Board for credit to the Investor Protection and Education Fund administered by the Board under the Act.</w:t>
      </w:r>
    </w:p>
    <w:p>
      <w:pPr>
        <w:pStyle w:val="Normal"/>
        <w:rPr>
          <w:b/>
          <w:b/>
          <w:sz w:val="23"/>
          <w:szCs w:val="23"/>
        </w:rPr>
      </w:pPr>
      <w:r>
        <w:rPr>
          <w:b/>
          <w:sz w:val="23"/>
          <w:szCs w:val="23"/>
        </w:rPr>
        <w:t xml:space="preserve">Schedule C </w:t>
      </w:r>
    </w:p>
    <w:p>
      <w:pPr>
        <w:pStyle w:val="Normal"/>
        <w:rPr>
          <w:sz w:val="23"/>
          <w:szCs w:val="23"/>
        </w:rPr>
      </w:pPr>
      <w:r>
        <w:rPr>
          <w:sz w:val="23"/>
          <w:szCs w:val="23"/>
        </w:rPr>
        <w:t>1. The compliance officer shall report to the board of directors or head(s) of the organisation (or committee constituted in this regard) and in particular, shall provide reports to the Chairman of the Audit Committee or other analogous body, if any, or to the Chairman of the board of directors or head(s) of the organisation at such frequency as may be stipulated by the board of directors or head(s) of the organization but not less than once in a year.</w:t>
      </w:r>
    </w:p>
    <w:p>
      <w:pPr>
        <w:pStyle w:val="Normal"/>
        <w:rPr>
          <w:sz w:val="23"/>
          <w:szCs w:val="23"/>
        </w:rPr>
      </w:pPr>
      <w:r>
        <w:rPr>
          <w:sz w:val="23"/>
          <w:szCs w:val="23"/>
        </w:rPr>
        <w:t>4. Designated persons may execute trades subject to compliance with these regulations. Trading by designated persons shall be subject to pre- clearance by the compliance officer(s), if the value of the proposed trades is above such thresholds as the board of directors or head(s) of the organisation may stipulate.</w:t>
      </w:r>
    </w:p>
    <w:p>
      <w:pPr>
        <w:pStyle w:val="Normal"/>
        <w:rPr>
          <w:sz w:val="23"/>
          <w:szCs w:val="23"/>
        </w:rPr>
      </w:pPr>
      <w:r>
        <w:rPr>
          <w:sz w:val="23"/>
          <w:szCs w:val="23"/>
        </w:rPr>
        <w:t>5. The compliance officer shall confidentially maintain a list of such securities as a “restricted list” which shall be used as the basis for approving or rejecting applications for pre-clearance of trades.</w:t>
      </w:r>
    </w:p>
    <w:p>
      <w:pPr>
        <w:pStyle w:val="Normal"/>
        <w:rPr>
          <w:sz w:val="23"/>
          <w:szCs w:val="23"/>
        </w:rPr>
      </w:pPr>
      <w:r>
        <w:rPr>
          <w:sz w:val="23"/>
          <w:szCs w:val="23"/>
        </w:rPr>
        <w:t>6. Prior to approving any trades, the compliance officer shall seek declarations to the effect that the applicant for pre-clearance is not in possession of any unpublished price sensitive information. He shall also have regard to whether any such declaration is reasonably capable of being rendered inaccurate.</w:t>
      </w:r>
    </w:p>
    <w:p>
      <w:pPr>
        <w:pStyle w:val="Normal"/>
        <w:rPr>
          <w:sz w:val="23"/>
          <w:szCs w:val="23"/>
        </w:rPr>
      </w:pPr>
      <w:r>
        <w:rPr>
          <w:sz w:val="23"/>
          <w:szCs w:val="23"/>
        </w:rPr>
        <w:t xml:space="preserve">8. The code of conduct shall specify the period, which in any event shall not be less than six months, within which a designated person who is a connected person of the listed company and is permitted to trade in the securities of such listed company, shall not execute a contra trade. The compliance officer may be empowered to grant relaxation from strict application of such restriction for reasons to be recorded in writing provided that such relaxation does not violate these regulations. Should a contra trade be executed, inadvertently or otherwise, in violation of such a restriction, the profits from such trade shall be liable to be disgorged for remittance to the Board for credit to the Investor Protection and Education Fund administered by the Board under the Act. </w:t>
      </w:r>
    </w:p>
    <w:p>
      <w:pPr>
        <w:pStyle w:val="Normal"/>
        <w:rPr>
          <w:sz w:val="23"/>
          <w:szCs w:val="23"/>
        </w:rPr>
      </w:pPr>
      <w:r>
        <w:rPr>
          <w:sz w:val="23"/>
          <w:szCs w:val="23"/>
        </w:rPr>
        <w:t>Provided that this shall not be applicable for trades pursuant to exercise of stock options.</w:t>
      </w:r>
    </w:p>
    <w:p>
      <w:pPr>
        <w:pStyle w:val="Normal"/>
        <w:spacing w:before="0" w:after="200"/>
        <w:rPr>
          <w:sz w:val="23"/>
          <w:szCs w:val="23"/>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35d5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a3e78"/>
    <w:pPr>
      <w:spacing w:before="0" w:after="200"/>
      <w:ind w:left="720" w:hanging="0"/>
      <w:contextualSpacing/>
    </w:pPr>
    <w:rPr/>
  </w:style>
  <w:style w:type="paragraph" w:styleId="Default" w:customStyle="1">
    <w:name w:val="Default"/>
    <w:qFormat/>
    <w:rsid w:val="000a3e78"/>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5C603-2943-454A-BAE2-00AD02A1D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Application>LibreOffice/6.4.6.2$Linux_X86_64 LibreOffice_project/40$Build-2</Application>
  <Pages>8</Pages>
  <Words>3384</Words>
  <Characters>17484</Characters>
  <CharactersWithSpaces>20829</CharactersWithSpaces>
  <Paragraphs>72</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2020-12-25T08:06:00Z</dcterms:created>
  <dc:creator>sandeep</dc:creator>
  <dc:description/>
  <dc:language>en-IN</dc:language>
  <cp:lastModifiedBy/>
  <dcterms:modified xsi:type="dcterms:W3CDTF">2021-01-07T21:54:11Z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