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ge">
                  <wp:posOffset>276225</wp:posOffset>
                </wp:positionV>
                <wp:extent cx="7560945" cy="7915910"/>
                <wp:effectExtent l="0" t="0" r="0" b="0"/>
                <wp:wrapNone/>
                <wp:docPr id="1" name="id-65272637-6298-4b82-a798-8e0c36734da8"/>
                <a:graphic xmlns:a="http://schemas.openxmlformats.org/drawingml/2006/main">
                  <a:graphicData uri="http://schemas.microsoft.com/office/word/2010/wordprocessingShape">
                    <wps:wsp>
                      <wps:cNvSpPr/>
                      <wps:spPr>
                        <a:xfrm>
                          <a:off x="0" y="0"/>
                          <a:ext cx="7560360" cy="7915320"/>
                        </a:xfrm>
                        <a:prstGeom prst="rect">
                          <a:avLst/>
                        </a:prstGeom>
                        <a:noFill/>
                        <a:ln>
                          <a:noFill/>
                        </a:ln>
                      </wps:spPr>
                      <wps:style>
                        <a:lnRef idx="0"/>
                        <a:fillRef idx="0"/>
                        <a:effectRef idx="0"/>
                        <a:fontRef idx="minor"/>
                      </wps:style>
                      <wps:txbx>
                        <w:txbxContent>
                          <w:p>
                            <w:pPr>
                              <w:pStyle w:val="PreformattedText"/>
                              <w:bidi w:val="0"/>
                              <w:spacing w:before="0" w:after="0"/>
                              <w:ind w:left="0" w:right="0" w:hanging="0"/>
                              <w:jc w:val="left"/>
                              <w:rPr>
                                <w:rFonts w:ascii="var jp-code-font-family" w:hAnsi="var jp-code-font-family"/>
                              </w:rPr>
                            </w:pPr>
                            <w:r>
                              <w:rPr/>
                            </w:r>
                          </w:p>
                        </w:txbxContent>
                      </wps:txbx>
                      <wps:bodyPr lIns="0" rIns="0" tIns="0" bIns="0">
                        <a:noAutofit/>
                      </wps:bodyPr>
                    </wps:wsp>
                  </a:graphicData>
                </a:graphic>
              </wp:anchor>
            </w:drawing>
          </mc:Choice>
          <mc:Fallback>
            <w:pict>
              <v:rect id="shape_0" ID="id-65272637-6298-4b82-a798-8e0c36734da8" stroked="f" style="position:absolute;margin-left:0pt;margin-top:21.75pt;width:595.25pt;height:623.2pt;mso-position-vertical-relative:page">
                <w10:wrap type="none"/>
                <v:fill o:detectmouseclick="t" on="false"/>
                <v:stroke color="#3465a4" joinstyle="round" endcap="flat"/>
                <v:textbox>
                  <w:txbxContent>
                    <w:p>
                      <w:pPr>
                        <w:pStyle w:val="PreformattedText"/>
                        <w:bidi w:val="0"/>
                        <w:spacing w:before="0" w:after="0"/>
                        <w:ind w:left="0" w:right="0" w:hanging="0"/>
                        <w:jc w:val="left"/>
                        <w:rPr>
                          <w:rFonts w:ascii="var jp-code-font-family" w:hAnsi="var jp-code-font-family"/>
                        </w:rPr>
                      </w:pPr>
                      <w:r>
                        <w:rPr/>
                      </w:r>
                    </w:p>
                  </w:txbxContent>
                </v:textbox>
              </v:rect>
            </w:pict>
          </mc:Fallback>
        </mc:AlternateContent>
      </w:r>
      <w:r>
        <w:rPr/>
        <w:t>Query – Answer span – Answer Regulation</w:t>
      </w:r>
    </w:p>
    <w:p>
      <w:pPr>
        <w:pStyle w:val="Normal"/>
        <w:bidi w:val="0"/>
        <w:jc w:val="left"/>
        <w:rPr/>
      </w:pPr>
      <w:r>
        <w:rPr/>
      </w:r>
    </w:p>
    <w:p>
      <w:pPr>
        <w:pStyle w:val="Normal"/>
        <w:bidi w:val="0"/>
        <w:jc w:val="left"/>
        <w:rPr/>
      </w:pPr>
      <w:r>
        <w:rPr/>
        <w:t>What if a stock delisted from the market?</w:t>
      </w:r>
    </w:p>
    <w:p>
      <w:pPr>
        <w:pStyle w:val="Normal"/>
        <w:bidi w:val="0"/>
        <w:jc w:val="left"/>
        <w:rPr/>
      </w:pPr>
      <w:r>
        <w:rPr/>
      </w:r>
    </w:p>
    <w:p>
      <w:pPr>
        <w:pStyle w:val="PreformattedText"/>
        <w:bidi w:val="0"/>
        <w:jc w:val="left"/>
        <w:rPr>
          <w:rFonts w:ascii="var jp-code-font-family" w:hAnsi="var jp-code-font-family"/>
          <w:b w:val="false"/>
          <w:b w:val="false"/>
          <w:i w:val="false"/>
          <w:i w:val="false"/>
          <w:caps w:val="false"/>
          <w:smallCaps w:val="false"/>
          <w:spacing w:val="0"/>
        </w:rPr>
      </w:pPr>
      <w:r>
        <w:rPr>
          <w:rFonts w:ascii="var jp-code-font-family" w:hAnsi="var jp-code-font-family"/>
          <w:b w:val="false"/>
          <w:i w:val="false"/>
          <w:caps w:val="false"/>
          <w:smallCaps w:val="false"/>
          <w:spacing w:val="0"/>
        </w:rPr>
        <w:t>if any instruments issued by the company, which are convertible into the same class of equity shares that are sought to be delisted, are outstanding</w:t>
      </w:r>
    </w:p>
    <w:p>
      <w:pPr>
        <w:pStyle w:val="Normal"/>
        <w:bidi w:val="0"/>
        <w:jc w:val="left"/>
        <w:rPr/>
      </w:pPr>
      <w:r>
        <w:rPr/>
      </w:r>
    </w:p>
    <w:p>
      <w:pPr>
        <w:pStyle w:val="PreformattedText"/>
        <w:bidi w:val="0"/>
        <w:jc w:val="left"/>
        <w:rPr>
          <w:rFonts w:ascii="var jp-code-font-family" w:hAnsi="var jp-code-font-family"/>
          <w:b w:val="false"/>
          <w:b w:val="false"/>
          <w:i w:val="false"/>
          <w:i w:val="false"/>
          <w:caps w:val="false"/>
          <w:smallCaps w:val="false"/>
          <w:spacing w:val="0"/>
        </w:rPr>
      </w:pPr>
      <w:r>
        <w:rPr>
          <w:rFonts w:ascii="var jp-code-font-family" w:hAnsi="var jp-code-font-family"/>
          <w:b w:val="false"/>
          <w:i w:val="false"/>
          <w:caps w:val="false"/>
          <w:smallCaps w:val="false"/>
          <w:spacing w:val="0"/>
        </w:rPr>
        <w:t>4.  (1)  No  company  shall  apply  for  and  no  recognised  stock  exchange  shall  permit delisting of equity shares of a company,- (a) pursuant to a buyback of equity shares by the company; or (b) pursuant to a preferential allotment made by the company; or (c) unless a period of three years has elapsed since the listing of that class of equity shares on any recognised stock exchange; or (d)  if  any  instruments  issued  by  the  company,  which  are convertible  into  the  same class of equity shares that are sought to be delisted, are outstanding. 13[(1A) No promoter or promoter group  shall propose delisting of equity shares of a company, if any entity belonging to the promoter or promoter group has sold equity shares of the  company  during a  period  of  six  months  prior  to  the  date of  the  board meeting in which the delisting proposal was approved in terms of sub-regulation (1B) of regulation 8.]</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rFonts w:ascii="aakar" w:hAnsi="aakar"/>
          <w:b w:val="false"/>
          <w:b w:val="false"/>
          <w:bCs w:val="false"/>
          <w:i w:val="false"/>
          <w:i w:val="false"/>
          <w:caps w:val="false"/>
          <w:smallCaps w:val="false"/>
          <w:color w:val="282829"/>
          <w:spacing w:val="0"/>
          <w:sz w:val="20"/>
          <w:szCs w:val="20"/>
        </w:rPr>
      </w:pPr>
      <w:r>
        <w:rPr>
          <w:rFonts w:ascii="aakar" w:hAnsi="aakar"/>
          <w:b w:val="false"/>
          <w:bCs w:val="false"/>
          <w:i w:val="false"/>
          <w:caps w:val="false"/>
          <w:smallCaps w:val="false"/>
          <w:color w:val="282829"/>
          <w:spacing w:val="0"/>
          <w:sz w:val="20"/>
          <w:szCs w:val="20"/>
        </w:rPr>
        <w:t>What can a person do with shares that are now delisted?</w:t>
      </w:r>
    </w:p>
    <w:p>
      <w:pPr>
        <w:pStyle w:val="Normal"/>
        <w:bidi w:val="0"/>
        <w:jc w:val="left"/>
        <w:rPr>
          <w:rFonts w:ascii="aakar" w:hAnsi="aakar"/>
          <w:b w:val="false"/>
          <w:b w:val="false"/>
          <w:bCs w:val="false"/>
          <w:i w:val="false"/>
          <w:i w:val="false"/>
          <w:caps w:val="false"/>
          <w:smallCaps w:val="false"/>
          <w:color w:val="282829"/>
          <w:spacing w:val="0"/>
          <w:sz w:val="20"/>
          <w:szCs w:val="20"/>
        </w:rPr>
      </w:pPr>
      <w:r>
        <w:rPr>
          <w:rFonts w:ascii="aakar" w:hAnsi="aakar"/>
          <w:b w:val="false"/>
          <w:bCs w:val="false"/>
          <w:i w:val="false"/>
          <w:caps w:val="false"/>
          <w:smallCaps w:val="false"/>
          <w:color w:val="282829"/>
          <w:spacing w:val="0"/>
          <w:sz w:val="20"/>
          <w:szCs w:val="20"/>
        </w:rPr>
      </w:r>
    </w:p>
    <w:p>
      <w:pPr>
        <w:pStyle w:val="PreformattedText"/>
        <w:bidi w:val="0"/>
        <w:jc w:val="left"/>
        <w:rPr>
          <w:rFonts w:ascii="var jp-code-font-family" w:hAnsi="var jp-code-font-family"/>
          <w:b w:val="false"/>
          <w:b w:val="false"/>
          <w:bCs w:val="false"/>
          <w:i w:val="false"/>
          <w:i w:val="false"/>
          <w:caps w:val="false"/>
          <w:smallCaps w:val="false"/>
          <w:color w:val="282829"/>
          <w:spacing w:val="0"/>
          <w:sz w:val="20"/>
          <w:szCs w:val="20"/>
        </w:rPr>
      </w:pPr>
      <w:r>
        <w:rPr>
          <w:rFonts w:ascii="var jp-code-font-family" w:hAnsi="var jp-code-font-family"/>
          <w:b w:val="false"/>
          <w:bCs w:val="false"/>
          <w:i w:val="false"/>
          <w:caps w:val="false"/>
          <w:smallCaps w:val="false"/>
          <w:color w:val="282829"/>
          <w:spacing w:val="0"/>
          <w:sz w:val="20"/>
          <w:szCs w:val="20"/>
        </w:rPr>
        <w:t>continue their listing</w:t>
      </w:r>
    </w:p>
    <w:p>
      <w:pPr>
        <w:pStyle w:val="Normal"/>
        <w:bidi w:val="0"/>
        <w:jc w:val="left"/>
        <w:rPr>
          <w:rFonts w:ascii="aakar" w:hAnsi="aakar"/>
          <w:b w:val="false"/>
          <w:b w:val="false"/>
          <w:bCs w:val="false"/>
          <w:i w:val="false"/>
          <w:i w:val="false"/>
          <w:caps w:val="false"/>
          <w:smallCaps w:val="false"/>
          <w:color w:val="282829"/>
          <w:spacing w:val="0"/>
          <w:sz w:val="20"/>
          <w:szCs w:val="20"/>
        </w:rPr>
      </w:pPr>
      <w:r>
        <w:rPr>
          <w:rFonts w:ascii="aakar" w:hAnsi="aakar"/>
          <w:b w:val="false"/>
          <w:bCs w:val="false"/>
          <w:i w:val="false"/>
          <w:caps w:val="false"/>
          <w:smallCaps w:val="false"/>
          <w:color w:val="282829"/>
          <w:spacing w:val="0"/>
          <w:sz w:val="20"/>
          <w:szCs w:val="20"/>
        </w:rPr>
      </w:r>
    </w:p>
    <w:p>
      <w:pPr>
        <w:pStyle w:val="PreformattedText"/>
        <w:bidi w:val="0"/>
        <w:jc w:val="left"/>
        <w:rPr>
          <w:rFonts w:ascii="var jp-code-font-family" w:hAnsi="var jp-code-font-family"/>
          <w:b w:val="false"/>
          <w:b w:val="false"/>
          <w:bCs w:val="false"/>
          <w:i w:val="false"/>
          <w:i w:val="false"/>
          <w:caps w:val="false"/>
          <w:smallCaps w:val="false"/>
          <w:color w:val="282829"/>
          <w:spacing w:val="0"/>
          <w:sz w:val="20"/>
          <w:szCs w:val="20"/>
        </w:rPr>
      </w:pPr>
      <w:r>
        <w:rPr>
          <w:rFonts w:ascii="var jp-code-font-family" w:hAnsi="var jp-code-font-family"/>
          <w:b w:val="false"/>
          <w:bCs w:val="false"/>
          <w:i w:val="false"/>
          <w:caps w:val="false"/>
          <w:smallCaps w:val="false"/>
          <w:color w:val="282829"/>
          <w:spacing w:val="0"/>
          <w:sz w:val="20"/>
          <w:szCs w:val="20"/>
        </w:rPr>
        <w:t>6.  A  company  may  delist  its  equity  shares  from  one  or  more  recognised  stock exchanges  where  they  are  listed  and  continue  their  listing  on  one  or  more  other recognised  stock  exchanges,  subject  to  the  provisions  of  these  regulations  and subject to the following – (a) if after the proposed delisting from any one or more recognised stock exchanges, the equity shares would remain listed on any recognised stock exchange which has nationwide  trading  terminals,  no  exit  opportunity  needs  to  be  given  to  the  public shareholders; and, (b)  if  after  the  proposed  delisting,  the  equity  shares  16[do]  not remain  listed  on  any recognised  stock  exchange  having  nationwide  trading  terminals, exit  opportunity shall  be given  to  all  the public  shareholders holding  the  equity  shares sought  to  be delisted in accordance with Chapter IV. nationwide  trading  terminals’  means the  Bombay  Stock  Exchange  Limited,  the National  Stock  Exchange  of  India  Limited  or any  other  recognised  stock  exchange which may be specified by the Board in this regard. Procedure for delisting where no exit opportunity is required</w:t>
      </w:r>
    </w:p>
    <w:p>
      <w:pPr>
        <w:pStyle w:val="PreformattedText"/>
        <w:bidi w:val="0"/>
        <w:jc w:val="left"/>
        <w:rPr>
          <w:rFonts w:ascii="var jp-code-font-family" w:hAnsi="var jp-code-font-family"/>
          <w:b w:val="false"/>
          <w:b w:val="false"/>
          <w:bCs w:val="false"/>
          <w:i w:val="false"/>
          <w:i w:val="false"/>
          <w:caps w:val="false"/>
          <w:smallCaps w:val="false"/>
          <w:color w:val="282829"/>
          <w:spacing w:val="0"/>
          <w:sz w:val="20"/>
          <w:szCs w:val="20"/>
        </w:rPr>
      </w:pPr>
      <w:r>
        <w:rPr>
          <w:rFonts w:ascii="var jp-code-font-family" w:hAnsi="var jp-code-font-family"/>
          <w:b w:val="false"/>
          <w:bCs w:val="false"/>
          <w:i w:val="false"/>
          <w:caps w:val="false"/>
          <w:smallCaps w:val="false"/>
          <w:color w:val="282829"/>
          <w:spacing w:val="0"/>
          <w:sz w:val="20"/>
          <w:szCs w:val="20"/>
        </w:rPr>
      </w:r>
    </w:p>
    <w:p>
      <w:pPr>
        <w:pStyle w:val="Normal"/>
        <w:bidi w:val="0"/>
        <w:jc w:val="left"/>
        <w:rPr/>
      </w:pPr>
      <w:r>
        <w:rPr/>
        <w:t>------------------------------------------------------------------------------------------------------------------------</w:t>
      </w:r>
    </w:p>
    <w:p>
      <w:pPr>
        <w:pStyle w:val="Normal"/>
        <w:bidi w:val="0"/>
        <w:jc w:val="left"/>
        <w:rPr/>
      </w:pPr>
      <w:r>
        <w:rPr/>
      </w:r>
    </w:p>
    <w:p>
      <w:pPr>
        <w:pStyle w:val="Normal"/>
        <w:bidi w:val="0"/>
        <w:jc w:val="left"/>
        <w:rPr/>
      </w:pPr>
      <w:r>
        <w:rPr/>
        <w:t>Why companies are delisting their shares</w:t>
      </w:r>
    </w:p>
    <w:p>
      <w:pPr>
        <w:pStyle w:val="Normal"/>
        <w:bidi w:val="0"/>
        <w:jc w:val="left"/>
        <w:rPr/>
      </w:pPr>
      <w:r>
        <w:rPr/>
      </w:r>
    </w:p>
    <w:p>
      <w:pPr>
        <w:pStyle w:val="PreformattedText"/>
        <w:bidi w:val="0"/>
        <w:jc w:val="left"/>
        <w:rPr>
          <w:rFonts w:ascii="var jp-code-font-family" w:hAnsi="var jp-code-font-family"/>
          <w:b w:val="false"/>
          <w:b w:val="false"/>
          <w:i w:val="false"/>
          <w:i w:val="false"/>
          <w:caps w:val="false"/>
          <w:smallCaps w:val="false"/>
          <w:spacing w:val="0"/>
        </w:rPr>
      </w:pPr>
      <w:r>
        <w:rPr>
          <w:rFonts w:ascii="var jp-code-font-family" w:hAnsi="var jp-code-font-family"/>
          <w:b w:val="false"/>
          <w:i w:val="false"/>
          <w:caps w:val="false"/>
          <w:smallCaps w:val="false"/>
          <w:spacing w:val="0"/>
        </w:rPr>
        <w:t>the delisting is in the interest of the shareholders</w:t>
      </w:r>
    </w:p>
    <w:p>
      <w:pPr>
        <w:pStyle w:val="Normal"/>
        <w:bidi w:val="0"/>
        <w:jc w:val="left"/>
        <w:rPr/>
      </w:pPr>
      <w:r>
        <w:rPr/>
      </w:r>
    </w:p>
    <w:p>
      <w:pPr>
        <w:pStyle w:val="PreformattedText"/>
        <w:bidi w:val="0"/>
        <w:jc w:val="left"/>
        <w:rPr>
          <w:rFonts w:ascii="var jp-code-font-family" w:hAnsi="var jp-code-font-family"/>
          <w:b w:val="false"/>
          <w:b w:val="false"/>
          <w:i w:val="false"/>
          <w:i w:val="false"/>
          <w:caps w:val="false"/>
          <w:smallCaps w:val="false"/>
          <w:spacing w:val="0"/>
        </w:rPr>
      </w:pPr>
      <w:r>
        <w:rPr>
          <w:rFonts w:ascii="var jp-code-font-family" w:hAnsi="var jp-code-font-family"/>
          <w:b w:val="false"/>
          <w:i w:val="false"/>
          <w:caps w:val="false"/>
          <w:smallCaps w:val="false"/>
          <w:spacing w:val="0"/>
        </w:rPr>
        <w:t>8.  (1)  Any  company  desirous  of  delisting  its  equity  shares  under  the  provisions  of Chapter III shall, except in a case falling under clause (a) of regulation 6, - (a) obtain the prior approval of the board of directors of the company in its meeting; (b)  obtain  the  prior  approval  of  shareholders  of  the  company  by  special  resolution passed through postal ballot, after disclosure of all material facts in the explanatory statement sent to the shareholders in relation to such resolution: 7 Provided that the special resolution shall be acted upon  17[***] only if the votes cast by  public  shareholders  in  favour  of  the  proposal  amount  to  at  least  two  times  the number of votes cast by public shareholders against it. (c) make an application to the concerned recognised stock exchange for in-principle approval  of  the  proposed  delisting  in  the  form  specified  by  the  recognised  stock exchange; and (d) within one year of passing the special resolution, make the final application to the concerned recognised stock exchange in the form specified by the recognised stock exchange:  Provided  that  in  pursuance  of  special  resolution  as  referred  to  in  clause (b), passed before the commencement of these regulations, final application shall be made within a period of one year from the date of passing of special resolution or six months from the commencement of these regulations, whichever is later. 18 [(1A)     Prior to granting approval under clause (a) of sub-regulation (1), the board of directors of the company shall,- (i) make a disclosure to the recognized stock exchanges on which the equity shares of  the  company  are  listed  that  the  promoters/acquirers  have  proposed  to  delist  the company; (ii)  appoint    a    merchant    banker    to    carry    out    due-diligence    and    make    a disclosure  to  this  effect  to  the  recognized  stock  exchanges  on  which  the  equity shares of the company are listed; (iii) obtain details of trading in shares of the company for a period of two years prior to  the  date of  board  meeting  by  top  twenty  five  shareholders  as  on  the  date  of  the board  meeting  convened  to  consider  the  proposal  for  delisting,  from  the  stock exchanges and details of off-market transactions of such shareholders for a period of two  years  and  furnish  the  information  to  the  merchant  banker  for  carrying  out  due- diligence; (iv)  obtain  further  details  in  terms  of  sub-regulation  (1D)  of  regulation  8  and  furnish the information to the merchant banker. (1B)  The  board  of  directors  of  the  company  while  approving  the  proposal  for delisting shall certify that : (i)  the    company   is    in    compliance   with    the    applicable    provisions   of  securities laws; (ii)  the  acquirer  or  promoter    or  promoter  group  or  their  related  entities,  are  in compliance with sub-regulation (5) of regulation 4; (iii)  the delisting is in the interest of the shareholders. (1C)  For  certification    in  respect  of  matters  referred  to  in  sub-regulation  (1B),  the board of directors of the company shall take into account the report of the merchant banker as specified in sub-regulation (1E) of regulation 8. (1D) The merchant banker appointed by the board of directors of the company under clause (ii) of sub-regulation (1A) shall carry out due-diligence upon obtaining details from the board  of  directors  of  the  company  in  terms  of  clause  (iii) of  sub-regulation (1A) of regulation 8 Provided  that  if  the  merchant  banker  is  of  the  opinion  that  details  referred  to  in clause (iii) of sub-regulation (1A) of regulation 8 are not sufficient for certification in terms  of  sub-regulation    (1E) of  regulation  8,  he  shall  obtain  additional  details  from the board of directors of the company for such longer period as he may deem fit. (1E) Upon carrying out due-diligence as specified in terms of sub-regulation (1D) of regulation 8,  the merchant  banker  shall  submit  a  report  to  the  board  of directors  of the company certifying the following: (a)  the  trading  carried  out  by  19[any  of  the  acquirer  or  promoter  or  promoter  group entity] or   their   related   entities   was   in compliance or not, with the applicable provisions of the securities laws; and 20[(b)  any  of  the  acquirer  or  promoter  or  promoter  group  entity  or persons  acting  in concert or their related entities have carried out or not any transaction to facilitate the success  of  the  delisting  offer  which  is  in  contravention  of  the  provisions  of  sub- regulation (5) of regulation 4.]]</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If a company is about to delist and is ready to buy back my shares and I didn't sell, what will happen?</w:t>
      </w:r>
    </w:p>
    <w:p>
      <w:pPr>
        <w:pStyle w:val="Normal"/>
        <w:bidi w:val="0"/>
        <w:jc w:val="left"/>
        <w:rPr/>
      </w:pPr>
      <w:r>
        <w:rPr/>
      </w:r>
    </w:p>
    <w:p>
      <w:pPr>
        <w:pStyle w:val="PreformattedText"/>
        <w:bidi w:val="0"/>
        <w:jc w:val="left"/>
        <w:rPr>
          <w:rFonts w:ascii="var jp-code-font-family" w:hAnsi="var jp-code-font-family"/>
          <w:b w:val="false"/>
          <w:b w:val="false"/>
          <w:i w:val="false"/>
          <w:i w:val="false"/>
          <w:caps w:val="false"/>
          <w:smallCaps w:val="false"/>
          <w:spacing w:val="0"/>
        </w:rPr>
      </w:pPr>
      <w:r>
        <w:rPr>
          <w:rFonts w:ascii="var jp-code-font-family" w:hAnsi="var jp-code-font-family"/>
          <w:b w:val="false"/>
          <w:i w:val="false"/>
          <w:caps w:val="false"/>
          <w:smallCaps w:val="false"/>
          <w:spacing w:val="0"/>
        </w:rPr>
        <w:t>the InvIT shall surrender its certificate of registration to the Board</w:t>
      </w:r>
    </w:p>
    <w:p>
      <w:pPr>
        <w:pStyle w:val="Normal"/>
        <w:bidi w:val="0"/>
        <w:jc w:val="left"/>
        <w:rPr/>
      </w:pPr>
      <w:r>
        <w:rPr/>
      </w:r>
    </w:p>
    <w:p>
      <w:pPr>
        <w:pStyle w:val="PreformattedText"/>
        <w:bidi w:val="0"/>
        <w:jc w:val="left"/>
        <w:rPr>
          <w:rFonts w:ascii="var jp-code-font-family" w:hAnsi="var jp-code-font-family"/>
          <w:b w:val="false"/>
          <w:b w:val="false"/>
          <w:i w:val="false"/>
          <w:i w:val="false"/>
          <w:caps w:val="false"/>
          <w:smallCaps w:val="false"/>
          <w:spacing w:val="0"/>
        </w:rPr>
      </w:pPr>
      <w:r>
        <w:rPr>
          <w:rFonts w:ascii="var jp-code-font-family" w:hAnsi="var jp-code-font-family"/>
          <w:b w:val="false"/>
          <w:i w:val="false"/>
          <w:caps w:val="false"/>
          <w:smallCaps w:val="false"/>
          <w:spacing w:val="0"/>
        </w:rPr>
        <w:t>17. (1) The investment manager shall apply for delisting of  units of the InvIT to the Board and the designated stock exchanges if,- (a) (b) (c) (d) (e) the  public  holding  falls  below  the specified  limit  under  sub- regulation (6) of regulation 16; the  number  of  unit  holders  of the  InvIT  falls  below  the  limit  as specified under sub-regulation (7) 196[of regulation 16]; if there are no projects or assets  remaining under the InvIT for a period exceeding six months and InvIT does not propose to invest in any project in future: Provided that, the period may be extended by further 6 months, with  the  approval  of  unitholders  in  the  manner  as specified  in regulation 22; the  Board  or  the  designated  stock  exchanges  require  such delisting for violation of the listing agreement or these regulations or the Act; the  197[****] trustee  198[and  investment  manager]  requests  such delisting and such request has been approved by unit holders in accordance with regulation 22; 199[(ea)  the  trustee  and  the Investment  Manager  of  a  privately  placed and listed InvIT chooses to convert InvIT to a privately placed unlisted InvIT  and  such  request  has  been  approved  by  unit  holders  in accordance with regulation 22: Provided that exit shall be provided to dissenting unitholders.] (f) unit holders apply for such delisting in accordance with regulation 22; the  Board  or  the designated  stock  exchanges  require  such delisting in the interest of the unit holders: (g) Provided that if clause (a) or (b) is breached, the trustee may provide a period  of  six  months to  the  investment  manager  to  rectify  the  same, failing which shall apply for such delisting: Provided  further  that  in  case  of  PPP  projects,  such  delisting  shall  be subject to relevant clauses in the concession agreement. The  Board  and  the  designated  stock  Exchanges  may  consider  such application for delisting for approval or rejection as may be appropriate in the interest of the unit holders. The Board may, instead of delisting of the units, if it deems fit,  provide additional time to the InvIT or parties to the InvIT to comply with sub- regulation (1). The  Board  may  reject  the  application  for  delisting  and  take  any  other action, as it deems fit, under these regulations or the Act for violation of the listing agreement or these regulations or the Act. The procedure for delisting of units of InvIT including provision of exit option  to  the  unit  holders  shall  be  in  accordance  with  the  listing agreement and  in accordance  with  procedure  as  may  be  specified  by the Board and by the designated stock exchanges from time to time. After  delisting  of  its  units,  the  InvIT  shall  surrender  its  certificate  of registration  to  the  Board  and  shall  no  longer  undertake  activity  of  an InvIT: 200[Notwithstanding the above, in case the delisting is done in terms of clause (ea) of sub-regulation (1), the InvIT may retain its certificate of registration and continue to undertake the activity of a privately placed and unlisted InvIT as specified in Chapter VIA.] The InvIT and parties to the InvIT shall continue to be liable for all their acts of omissions and commissions with respect to activities of the InvIT notwithstanding surrender of registration to the Board.</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How does an initial public offering get valued?</w:t>
      </w:r>
    </w:p>
    <w:p>
      <w:pPr>
        <w:pStyle w:val="Normal"/>
        <w:bidi w:val="0"/>
        <w:jc w:val="left"/>
        <w:rPr/>
      </w:pPr>
      <w:r>
        <w:rPr/>
      </w:r>
    </w:p>
    <w:p>
      <w:pPr>
        <w:pStyle w:val="PreformattedText"/>
        <w:bidi w:val="0"/>
        <w:jc w:val="left"/>
        <w:rPr>
          <w:rFonts w:ascii="var jp-code-font-family" w:hAnsi="var jp-code-font-family"/>
          <w:b w:val="false"/>
          <w:b w:val="false"/>
          <w:i w:val="false"/>
          <w:i w:val="false"/>
          <w:caps w:val="false"/>
          <w:smallCaps w:val="false"/>
          <w:spacing w:val="0"/>
        </w:rPr>
      </w:pPr>
      <w:r>
        <w:rPr>
          <w:rFonts w:ascii="var jp-code-font-family" w:hAnsi="var jp-code-font-family"/>
          <w:b w:val="false"/>
          <w:i w:val="false"/>
          <w:caps w:val="false"/>
          <w:smallCaps w:val="false"/>
          <w:spacing w:val="0"/>
        </w:rPr>
        <w:t>the issuer shall make an application for listing of the specified securities in at least one recognised stock exchange having nationwide trading terminals</w:t>
      </w:r>
    </w:p>
    <w:p>
      <w:pPr>
        <w:pStyle w:val="Normal"/>
        <w:bidi w:val="0"/>
        <w:jc w:val="left"/>
        <w:rPr/>
      </w:pPr>
      <w:r>
        <w:rPr/>
      </w:r>
    </w:p>
    <w:p>
      <w:pPr>
        <w:pStyle w:val="PreformattedText"/>
        <w:bidi w:val="0"/>
        <w:jc w:val="left"/>
        <w:rPr>
          <w:rFonts w:ascii="var jp-code-font-family" w:hAnsi="var jp-code-font-family"/>
          <w:b w:val="false"/>
          <w:b w:val="false"/>
          <w:i w:val="false"/>
          <w:i w:val="false"/>
          <w:caps w:val="false"/>
          <w:smallCaps w:val="false"/>
          <w:spacing w:val="0"/>
        </w:rPr>
      </w:pPr>
      <w:r>
        <w:rPr>
          <w:rFonts w:ascii="var jp-code-font-family" w:hAnsi="var jp-code-font-family"/>
          <w:b w:val="false"/>
          <w:i w:val="false"/>
          <w:caps w:val="false"/>
          <w:smallCaps w:val="false"/>
          <w:spacing w:val="0"/>
        </w:rPr>
        <w:t>(2) No issuer shall make a public issue or rights issue of specified securities: (a) (b) if the issuer, any of its promoters, promoter group or directors or persons in control of the issuer are debarred from accessing the capital market by the Board; if  any  of  the  promoters,  directors or  persons  in  control  of  the  issuer  was  or  also  is  a promoter,  director  or  person  in control  of  any  other  company  which  is  debarred  from accessing the capital market under any order or directions made by the Board; 22[***] (c) (d)  unless it has made an application to one or more recognised stock exchanges for listing of specified securities on such stock exchanges and has chosen one of them as the designated stock exchange: Provided  that  in case  of  an  initial  public  offer,  the  issuer  shall  make  an  application  for listing  of  the specified  securities  in  at  least  one  recognised  stock  exchange  having nationwide trading terminals; (e)  unless it has entered into an agreement with a depository for dematerialisation of specified securities already issued or proposed to be issued; (f)  unless all existing partly paid-up equity shares of the issuer have either been fully paid up or forfeited; (g)  unless  firm arrangements  of  finance  through  verifiable  means  towards  seventy  five  per cent.  of  the stated  means  of  finance,  excluding  the  amount  to  be  raised  through  the proposed public  issue  or  rights  issue  or  through  existing  identifiable  internal  accruals, have been made.</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How does a company offer initial public offering?</w:t>
      </w:r>
    </w:p>
    <w:p>
      <w:pPr>
        <w:pStyle w:val="Normal"/>
        <w:bidi w:val="0"/>
        <w:jc w:val="left"/>
        <w:rPr/>
      </w:pPr>
      <w:r>
        <w:rPr/>
      </w:r>
    </w:p>
    <w:p>
      <w:pPr>
        <w:pStyle w:val="PreformattedText"/>
        <w:bidi w:val="0"/>
        <w:jc w:val="left"/>
        <w:rPr>
          <w:rFonts w:ascii="var jp-code-font-family" w:hAnsi="var jp-code-font-family"/>
          <w:b w:val="false"/>
          <w:b w:val="false"/>
          <w:i w:val="false"/>
          <w:i w:val="false"/>
          <w:caps w:val="false"/>
          <w:smallCaps w:val="false"/>
          <w:spacing w:val="0"/>
        </w:rPr>
      </w:pPr>
      <w:r>
        <w:rPr>
          <w:rFonts w:ascii="var jp-code-font-family" w:hAnsi="var jp-code-font-family"/>
          <w:b w:val="false"/>
          <w:i w:val="false"/>
          <w:caps w:val="false"/>
          <w:smallCaps w:val="false"/>
          <w:spacing w:val="0"/>
        </w:rPr>
        <w:t>the issuer shall make an application for listing of the specified securities in at least one recognised stock exchange having nationwide trading terminals</w:t>
      </w:r>
    </w:p>
    <w:p>
      <w:pPr>
        <w:pStyle w:val="Normal"/>
        <w:bidi w:val="0"/>
        <w:jc w:val="left"/>
        <w:rPr/>
      </w:pPr>
      <w:r>
        <w:rPr/>
      </w:r>
    </w:p>
    <w:p>
      <w:pPr>
        <w:pStyle w:val="PreformattedText"/>
        <w:bidi w:val="0"/>
        <w:jc w:val="left"/>
        <w:rPr>
          <w:rFonts w:ascii="var jp-code-font-family" w:hAnsi="var jp-code-font-family"/>
          <w:b w:val="false"/>
          <w:b w:val="false"/>
          <w:i w:val="false"/>
          <w:i w:val="false"/>
          <w:caps w:val="false"/>
          <w:smallCaps w:val="false"/>
          <w:spacing w:val="0"/>
        </w:rPr>
      </w:pPr>
      <w:r>
        <w:rPr>
          <w:rFonts w:ascii="var jp-code-font-family" w:hAnsi="var jp-code-font-family"/>
          <w:b w:val="false"/>
          <w:i w:val="false"/>
          <w:caps w:val="false"/>
          <w:smallCaps w:val="false"/>
          <w:spacing w:val="0"/>
        </w:rPr>
        <w:t>(2) No issuer shall make a public issue or rights issue of specified securities: (a) (b) if the issuer, any of its promoters, promoter group or directors or persons in control of the issuer are debarred from accessing the capital market by the Board; if  any  of  the  promoters,  directors or  persons  in  control  of  the  issuer  was  or  also  is  a promoter,  director  or  person  in control  of  any  other  company  which  is  debarred  from accessing the capital market under any order or directions made by the Board; 22[***] (c) (d)  unless it has made an application to one or more recognised stock exchanges for listing of specified securities on such stock exchanges and has chosen one of them as the designated stock exchange: Provided  that  in case  of  an  initial  public  offer,  the  issuer  shall  make  an  application  for listing  of  the specified  securities  in  at  least  one  recognised  stock  exchange  having nationwide trading terminals; (e)  unless it has entered into an agreement with a depository for dematerialisation of specified securities already issued or proposed to be issued; (f)  unless all existing partly paid-up equity shares of the issuer have either been fully paid up or forfeited; (g)  unless  firm arrangements  of  finance  through  verifiable  means  towards  seventy  five  per cent.  of  the stated  means  of  finance,  excluding  the  amount  to  be  raised  through  the proposed public  issue  or  rights  issue  or  through  existing  identifiable  internal  accruals, have been made.</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headerReference w:type="even" r:id="rId2"/>
      <w:headerReference w:type="default" r:id="rId3"/>
      <w:headerReference w:type="first" r:id="rId4"/>
      <w:type w:val="nextPage"/>
      <w:pgSz w:w="11906" w:h="16838"/>
      <w:pgMar w:left="1134" w:right="1134" w:header="1134" w:top="1693"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ar jp-code-font-family">
    <w:charset w:val="01"/>
    <w:family w:val="roman"/>
    <w:pitch w:val="variable"/>
  </w:font>
  <w:font w:name="aakar">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settings.xml><?xml version="1.0" encoding="utf-8"?>
<w:settings xmlns:w="http://schemas.openxmlformats.org/wordprocessingml/2006/main">
  <w:zoom w:percent="200"/>
  <w:defaultTabStop w:val="709"/>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4</Pages>
  <Words>2229</Words>
  <Characters>11958</Characters>
  <CharactersWithSpaces>14974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2021-01-11T12:00:43Z</dcterms:created>
  <dc:creator/>
  <dc:description/>
  <dc:language>en-IN</dc:language>
  <cp:lastModifiedBy/>
  <dcterms:modified xsi:type="dcterms:W3CDTF">2021-01-11T12:55:26Z</dcterms:modified>
  <cp:revision>3</cp:revision>
  <dc:subject/>
  <dc:title/>
</cp:coreProperties>
</file>