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SAMPLE QUESTIONS</w:t>
      </w:r>
    </w:p>
    <w:p>
      <w:pPr>
        <w:pStyle w:val="Normal"/>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sz w:val="28"/>
          <w:szCs w:val="28"/>
        </w:rPr>
        <w:t>Q1. What are the legal  provisions  on  appointment  and  re-appointment  of directors  of  a listed entity?</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bCs/>
          <w:sz w:val="28"/>
          <w:szCs w:val="28"/>
        </w:rPr>
        <w:t xml:space="preserve">Your </w:t>
      </w:r>
      <w:r>
        <w:rPr>
          <w:rFonts w:ascii="Calibri" w:hAnsi="Calibri"/>
          <w:b/>
          <w:bCs/>
          <w:sz w:val="28"/>
          <w:szCs w:val="28"/>
        </w:rPr>
        <w:t>A</w:t>
      </w:r>
      <w:r>
        <w:rPr>
          <w:rFonts w:ascii="Calibri" w:hAnsi="Calibri"/>
          <w:b/>
          <w:bCs/>
          <w:sz w:val="28"/>
          <w:szCs w:val="28"/>
        </w:rPr>
        <w:t>ns</w:t>
      </w:r>
      <w:r>
        <w:rPr>
          <w:rFonts w:ascii="Calibri" w:hAnsi="Calibri"/>
          <w:sz w:val="28"/>
          <w:szCs w:val="28"/>
        </w:rPr>
        <w:t xml:space="preserve">.  </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(1) As per Section 152 of the Companies Act, 2013 (CA 2013</w:t>
        <w:tab/>
        <w:t xml:space="preserve">), every director shall be appointed by the company in a general meeting. </w:t>
      </w:r>
    </w:p>
    <w:p>
      <w:pPr>
        <w:pStyle w:val="NoSpacing"/>
        <w:rPr>
          <w:rFonts w:ascii="Calibri" w:hAnsi="Calibri"/>
          <w:sz w:val="28"/>
          <w:szCs w:val="28"/>
        </w:rPr>
      </w:pPr>
      <w:r>
        <w:rPr>
          <w:rFonts w:ascii="Calibri" w:hAnsi="Calibri"/>
          <w:sz w:val="28"/>
          <w:szCs w:val="28"/>
        </w:rPr>
        <w:t xml:space="preserve">(2) As per Section 196 of the CA 2013,a managing director, whole-time director or manager shall be appointed and the terms and conditions of such appointment and  remuneration payable  be  approved  by  the board of  directors at a meeting </w:t>
      </w:r>
    </w:p>
    <w:p>
      <w:pPr>
        <w:pStyle w:val="NoSpacing"/>
        <w:rPr>
          <w:rFonts w:ascii="Calibri" w:hAnsi="Calibri"/>
          <w:sz w:val="28"/>
          <w:szCs w:val="28"/>
        </w:rPr>
      </w:pPr>
      <w:r>
        <w:rPr>
          <w:rFonts w:ascii="Calibri" w:hAnsi="Calibri"/>
          <w:sz w:val="28"/>
          <w:szCs w:val="28"/>
        </w:rPr>
        <w:t xml:space="preserve">which shall be subject to approval by a resolution at the next general meeting of </w:t>
      </w:r>
    </w:p>
    <w:p>
      <w:pPr>
        <w:pStyle w:val="NoSpacing"/>
        <w:rPr>
          <w:rFonts w:ascii="Calibri" w:hAnsi="Calibri"/>
          <w:sz w:val="28"/>
          <w:szCs w:val="28"/>
        </w:rPr>
      </w:pPr>
      <w:r>
        <w:rPr>
          <w:rFonts w:ascii="Calibri" w:hAnsi="Calibri"/>
          <w:sz w:val="28"/>
          <w:szCs w:val="28"/>
        </w:rPr>
        <w:t xml:space="preserve">the company. </w:t>
      </w:r>
    </w:p>
    <w:p>
      <w:pPr>
        <w:pStyle w:val="NoSpacing"/>
        <w:rPr>
          <w:rFonts w:ascii="Calibri" w:hAnsi="Calibri"/>
          <w:sz w:val="28"/>
          <w:szCs w:val="28"/>
        </w:rPr>
      </w:pPr>
      <w:r>
        <w:rPr>
          <w:rFonts w:ascii="Calibri" w:hAnsi="Calibri"/>
          <w:sz w:val="28"/>
          <w:szCs w:val="28"/>
        </w:rPr>
        <w:t>(3) Appointment and re-appointment of a director (except independent directors) is through  an  ordinary  resolution  except in  certain  cases  where  the  age  and /  or remuneration payable to such directors is above thresholds fixed in the CA 2013 or the LODR Regulations.</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sz w:val="28"/>
          <w:szCs w:val="28"/>
        </w:rPr>
        <w:t>Model Version 1 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sz w:val="28"/>
          <w:szCs w:val="28"/>
        </w:rPr>
      </w:pPr>
      <w:r>
        <w:rPr>
          <w:rFonts w:ascii="Calibri" w:hAnsi="Calibri"/>
          <w:b w:val="false"/>
          <w:i w:val="false"/>
          <w:caps w:val="false"/>
          <w:smallCaps w:val="false"/>
          <w:color w:val="212121"/>
          <w:spacing w:val="0"/>
          <w:sz w:val="28"/>
          <w:szCs w:val="28"/>
        </w:rPr>
        <w:t>Recommending to the Board, the appointment, re-appointment and, if required, the replacement or removal proposed to align</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i w:val="false"/>
          <w:caps w:val="false"/>
          <w:smallCaps w:val="false"/>
          <w:color w:val="212121"/>
          <w:spacing w:val="0"/>
          <w:sz w:val="28"/>
          <w:szCs w:val="28"/>
        </w:rPr>
        <w:t>-------------------------------------------------------------------------</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sz w:val="28"/>
          <w:szCs w:val="28"/>
        </w:rPr>
        <w:t>Q.2 As of date, what are the provisions for a person to get appointed of persons who fail to get elected as Whole time Directors /Managing Directors at the general meeting of a listed entity?</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bCs/>
          <w:sz w:val="28"/>
          <w:szCs w:val="28"/>
        </w:rPr>
        <w:t>Your Ans.</w:t>
      </w:r>
    </w:p>
    <w:p>
      <w:pPr>
        <w:pStyle w:val="NoSpacing"/>
        <w:rPr>
          <w:rFonts w:ascii="Calibri" w:hAnsi="Calibri"/>
          <w:sz w:val="28"/>
          <w:szCs w:val="28"/>
        </w:rPr>
      </w:pPr>
      <w:r>
        <w:rPr>
          <w:rFonts w:ascii="Calibri" w:hAnsi="Calibri"/>
          <w:sz w:val="28"/>
          <w:szCs w:val="28"/>
        </w:rPr>
        <w:t xml:space="preserve">As per Section 161(1) of the CA 2013, the board cannot appoint a person who </w:t>
      </w:r>
    </w:p>
    <w:p>
      <w:pPr>
        <w:pStyle w:val="NoSpacing"/>
        <w:rPr>
          <w:rFonts w:ascii="Calibri" w:hAnsi="Calibri"/>
          <w:sz w:val="28"/>
          <w:szCs w:val="28"/>
        </w:rPr>
      </w:pPr>
      <w:r>
        <w:rPr>
          <w:rFonts w:ascii="Calibri" w:hAnsi="Calibri"/>
          <w:sz w:val="28"/>
          <w:szCs w:val="28"/>
        </w:rPr>
        <w:t xml:space="preserve">fails to get elected as a director at a general meeting as an additional director. However, the CA 2013 does not explicitly prohibit the board from re-appointing a </w:t>
      </w:r>
    </w:p>
    <w:p>
      <w:pPr>
        <w:pStyle w:val="NoSpacing"/>
        <w:rPr>
          <w:rFonts w:ascii="Calibri" w:hAnsi="Calibri"/>
          <w:sz w:val="28"/>
          <w:szCs w:val="28"/>
        </w:rPr>
      </w:pPr>
      <w:r>
        <w:rPr>
          <w:rFonts w:ascii="Calibri" w:hAnsi="Calibri"/>
          <w:sz w:val="28"/>
          <w:szCs w:val="28"/>
        </w:rPr>
        <w:t xml:space="preserve">person as a MD or WTD, whose appointment to such posts was rejected by the </w:t>
      </w:r>
    </w:p>
    <w:p>
      <w:pPr>
        <w:pStyle w:val="NoSpacing"/>
        <w:rPr>
          <w:rFonts w:ascii="Calibri" w:hAnsi="Calibri"/>
          <w:sz w:val="28"/>
          <w:szCs w:val="28"/>
        </w:rPr>
      </w:pPr>
      <w:r>
        <w:rPr>
          <w:rFonts w:ascii="Calibri" w:hAnsi="Calibri"/>
          <w:sz w:val="28"/>
          <w:szCs w:val="28"/>
        </w:rPr>
        <w:t xml:space="preserve">shareholders  at  the  general  meeting. Further, the  board  of a  listed  entity  can </w:t>
      </w:r>
    </w:p>
    <w:p>
      <w:pPr>
        <w:pStyle w:val="NoSpacing"/>
        <w:rPr>
          <w:rFonts w:ascii="Calibri" w:hAnsi="Calibri"/>
          <w:sz w:val="28"/>
          <w:szCs w:val="28"/>
        </w:rPr>
      </w:pPr>
      <w:r>
        <w:rPr>
          <w:rFonts w:ascii="Calibri" w:hAnsi="Calibri"/>
          <w:sz w:val="28"/>
          <w:szCs w:val="28"/>
        </w:rPr>
        <w:t xml:space="preserve">continue to appoint such persons as WTD / MD even after subsequent rejections </w:t>
      </w:r>
    </w:p>
    <w:p>
      <w:pPr>
        <w:pStyle w:val="NoSpacing"/>
        <w:rPr>
          <w:rFonts w:ascii="Calibri" w:hAnsi="Calibri"/>
          <w:sz w:val="28"/>
          <w:szCs w:val="28"/>
        </w:rPr>
      </w:pPr>
      <w:r>
        <w:rPr>
          <w:rFonts w:ascii="Calibri" w:hAnsi="Calibri"/>
          <w:sz w:val="28"/>
          <w:szCs w:val="28"/>
        </w:rPr>
        <w:t>by the shareholders.</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sz w:val="28"/>
          <w:szCs w:val="28"/>
        </w:rPr>
        <w:t>Model Version 1 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val="false"/>
          <w:b w:val="false"/>
          <w:bCs w:val="false"/>
          <w:i w:val="false"/>
          <w:caps w:val="false"/>
          <w:smallCaps w:val="false"/>
          <w:color w:val="212121"/>
          <w:spacing w:val="0"/>
          <w:sz w:val="28"/>
          <w:szCs w:val="28"/>
        </w:rPr>
      </w:pPr>
      <w:r>
        <w:rPr>
          <w:rFonts w:ascii="Calibri" w:hAnsi="Calibri"/>
          <w:b w:val="false"/>
          <w:bCs w:val="false"/>
          <w:i w:val="false"/>
          <w:caps w:val="false"/>
          <w:smallCaps w:val="false"/>
          <w:color w:val="212121"/>
          <w:spacing w:val="0"/>
          <w:sz w:val="28"/>
          <w:szCs w:val="28"/>
        </w:rPr>
        <w:t>the maximum number of public companies in which a person can be appointed as a director shall not exceed ten</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i w:val="false"/>
          <w:caps w:val="false"/>
          <w:smallCaps w:val="false"/>
          <w:color w:val="212121"/>
          <w:spacing w:val="0"/>
          <w:sz w:val="28"/>
          <w:szCs w:val="28"/>
        </w:rPr>
        <w:t>-------------------------------------------------------------------------</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sz w:val="28"/>
          <w:szCs w:val="28"/>
        </w:rPr>
        <w:t>Q.3 What are the key requirements for issuer companies to list under Innovators Growth Platform (IGP)?</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bCs/>
          <w:sz w:val="28"/>
          <w:szCs w:val="28"/>
        </w:rPr>
        <w:t>Your Ans.</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(1) 25  per  cent  of  the  pre-issue  capital,  of  the  issuer  company  should have been held for at least a period of two years by: </w:t>
      </w:r>
    </w:p>
    <w:p>
      <w:pPr>
        <w:pStyle w:val="NoSpacing"/>
        <w:rPr>
          <w:rFonts w:ascii="Calibri" w:hAnsi="Calibri"/>
          <w:sz w:val="28"/>
          <w:szCs w:val="28"/>
        </w:rPr>
      </w:pPr>
      <w:r>
        <w:rPr>
          <w:rFonts w:ascii="Calibri" w:hAnsi="Calibri"/>
          <w:sz w:val="28"/>
          <w:szCs w:val="28"/>
        </w:rPr>
      </w:r>
    </w:p>
    <w:p>
      <w:pPr>
        <w:pStyle w:val="NoSpacing"/>
        <w:numPr>
          <w:ilvl w:val="0"/>
          <w:numId w:val="1"/>
        </w:numPr>
        <w:rPr>
          <w:rFonts w:ascii="Calibri" w:hAnsi="Calibri"/>
          <w:sz w:val="28"/>
          <w:szCs w:val="28"/>
        </w:rPr>
      </w:pPr>
      <w:r>
        <w:rPr>
          <w:rFonts w:ascii="Calibri" w:hAnsi="Calibri"/>
          <w:sz w:val="28"/>
          <w:szCs w:val="28"/>
        </w:rPr>
        <w:t xml:space="preserve">Qualified Institutional Buyers (QIBs), </w:t>
      </w:r>
    </w:p>
    <w:p>
      <w:pPr>
        <w:pStyle w:val="NoSpacing"/>
        <w:numPr>
          <w:ilvl w:val="0"/>
          <w:numId w:val="1"/>
        </w:numPr>
        <w:rPr>
          <w:rFonts w:ascii="Calibri" w:hAnsi="Calibri"/>
          <w:sz w:val="28"/>
          <w:szCs w:val="28"/>
        </w:rPr>
      </w:pPr>
      <w:r>
        <w:rPr>
          <w:rFonts w:ascii="Calibri" w:hAnsi="Calibri"/>
          <w:sz w:val="28"/>
          <w:szCs w:val="28"/>
        </w:rPr>
        <w:t xml:space="preserve">Family Trust (with net-worth &gt; 500 crore), </w:t>
      </w:r>
    </w:p>
    <w:p>
      <w:pPr>
        <w:pStyle w:val="NoSpacing"/>
        <w:numPr>
          <w:ilvl w:val="0"/>
          <w:numId w:val="1"/>
        </w:numPr>
        <w:rPr>
          <w:rFonts w:ascii="Calibri" w:hAnsi="Calibri"/>
          <w:sz w:val="28"/>
          <w:szCs w:val="28"/>
        </w:rPr>
      </w:pPr>
      <w:r>
        <w:rPr>
          <w:rFonts w:ascii="Calibri" w:hAnsi="Calibri"/>
          <w:sz w:val="28"/>
          <w:szCs w:val="28"/>
        </w:rPr>
        <w:t xml:space="preserve">Accredited  Investors  (AI)  for  the  purpose  of  IGP  (individual  with  net </w:t>
      </w:r>
    </w:p>
    <w:p>
      <w:pPr>
        <w:pStyle w:val="NoSpacing"/>
        <w:rPr>
          <w:rFonts w:ascii="Calibri" w:hAnsi="Calibri"/>
          <w:sz w:val="28"/>
          <w:szCs w:val="28"/>
        </w:rPr>
      </w:pPr>
      <w:r>
        <w:rPr>
          <w:rFonts w:ascii="Calibri" w:hAnsi="Calibri"/>
          <w:sz w:val="28"/>
          <w:szCs w:val="28"/>
        </w:rPr>
        <w:tab/>
        <w:t xml:space="preserve">worth&gt; 5 crore and income &gt; 50 lakh / body corporate with net worth &gt; </w:t>
      </w:r>
    </w:p>
    <w:p>
      <w:pPr>
        <w:pStyle w:val="NoSpacing"/>
        <w:rPr>
          <w:rFonts w:ascii="Calibri" w:hAnsi="Calibri"/>
          <w:sz w:val="28"/>
          <w:szCs w:val="28"/>
        </w:rPr>
      </w:pPr>
      <w:r>
        <w:rPr>
          <w:rFonts w:ascii="Calibri" w:hAnsi="Calibri"/>
          <w:sz w:val="28"/>
          <w:szCs w:val="28"/>
        </w:rPr>
        <w:tab/>
        <w:t>25 crore) and</w:t>
      </w:r>
    </w:p>
    <w:p>
      <w:pPr>
        <w:pStyle w:val="NoSpacing"/>
        <w:numPr>
          <w:ilvl w:val="0"/>
          <w:numId w:val="2"/>
        </w:numPr>
        <w:rPr>
          <w:rFonts w:ascii="Calibri" w:hAnsi="Calibri"/>
          <w:sz w:val="28"/>
          <w:szCs w:val="28"/>
        </w:rPr>
      </w:pPr>
      <w:r>
        <w:rPr>
          <w:rFonts w:ascii="Calibri" w:hAnsi="Calibri"/>
          <w:sz w:val="28"/>
          <w:szCs w:val="28"/>
        </w:rPr>
        <w:t xml:space="preserve">Regulated   entities   like   Foreign   portfolio   Investor   (FPI),   Pooled </w:t>
      </w:r>
    </w:p>
    <w:p>
      <w:pPr>
        <w:pStyle w:val="NoSpacing"/>
        <w:rPr>
          <w:rFonts w:ascii="Calibri" w:hAnsi="Calibri"/>
          <w:sz w:val="28"/>
          <w:szCs w:val="28"/>
        </w:rPr>
      </w:pPr>
      <w:r>
        <w:rPr>
          <w:rFonts w:ascii="Calibri" w:hAnsi="Calibri"/>
          <w:sz w:val="28"/>
          <w:szCs w:val="28"/>
        </w:rPr>
        <w:tab/>
        <w:t xml:space="preserve">investment fund (with minimum Assets under management &gt; USD 150 </w:t>
      </w:r>
    </w:p>
    <w:p>
      <w:pPr>
        <w:pStyle w:val="NoSpacing"/>
        <w:rPr>
          <w:rFonts w:ascii="Calibri" w:hAnsi="Calibri"/>
          <w:sz w:val="28"/>
          <w:szCs w:val="28"/>
        </w:rPr>
      </w:pPr>
      <w:r>
        <w:rPr>
          <w:rFonts w:ascii="Calibri" w:hAnsi="Calibri"/>
          <w:sz w:val="28"/>
          <w:szCs w:val="28"/>
        </w:rPr>
        <w:tab/>
        <w:t>million) etc.</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ab/>
        <w:t xml:space="preserve"> Further, not more than 10 per cent of the pre-issue capital held by AIs is to </w:t>
      </w:r>
    </w:p>
    <w:p>
      <w:pPr>
        <w:pStyle w:val="NoSpacing"/>
        <w:rPr>
          <w:rFonts w:ascii="Calibri" w:hAnsi="Calibri"/>
          <w:sz w:val="28"/>
          <w:szCs w:val="28"/>
        </w:rPr>
      </w:pPr>
      <w:r>
        <w:rPr>
          <w:rFonts w:ascii="Calibri" w:hAnsi="Calibri"/>
          <w:sz w:val="28"/>
          <w:szCs w:val="28"/>
        </w:rPr>
        <w:tab/>
        <w:t>be considered for 25% pre-issue capital eligibility requirement.</w:t>
      </w:r>
    </w:p>
    <w:p>
      <w:pPr>
        <w:pStyle w:val="NoSpacing"/>
        <w:rPr>
          <w:rFonts w:ascii="Calibri" w:hAnsi="Calibri"/>
          <w:sz w:val="28"/>
          <w:szCs w:val="28"/>
        </w:rPr>
      </w:pPr>
      <w:r>
        <w:rPr>
          <w:rFonts w:ascii="Calibri" w:hAnsi="Calibri"/>
          <w:sz w:val="28"/>
          <w:szCs w:val="28"/>
        </w:rPr>
      </w:r>
    </w:p>
    <w:p>
      <w:pPr>
        <w:pStyle w:val="NoSpacing"/>
        <w:ind w:firstLine="360"/>
        <w:rPr>
          <w:rFonts w:ascii="Calibri" w:hAnsi="Calibri"/>
          <w:sz w:val="28"/>
          <w:szCs w:val="28"/>
        </w:rPr>
      </w:pPr>
      <w:r>
        <w:rPr>
          <w:rFonts w:ascii="Calibri" w:hAnsi="Calibri"/>
          <w:sz w:val="28"/>
          <w:szCs w:val="28"/>
        </w:rPr>
        <w:t xml:space="preserve">(2) Minimum net offer to public should be in compliance with minimum public </w:t>
      </w:r>
    </w:p>
    <w:p>
      <w:pPr>
        <w:pStyle w:val="NoSpacing"/>
        <w:rPr>
          <w:rFonts w:ascii="Calibri" w:hAnsi="Calibri"/>
          <w:sz w:val="28"/>
          <w:szCs w:val="28"/>
        </w:rPr>
      </w:pPr>
      <w:r>
        <w:rPr>
          <w:rFonts w:ascii="Calibri" w:hAnsi="Calibri"/>
          <w:sz w:val="28"/>
          <w:szCs w:val="28"/>
        </w:rPr>
        <w:t xml:space="preserve">      </w:t>
      </w:r>
      <w:r>
        <w:rPr>
          <w:rFonts w:ascii="Calibri" w:hAnsi="Calibri"/>
          <w:sz w:val="28"/>
          <w:szCs w:val="28"/>
        </w:rPr>
        <w:t>shareholding norms and minimum offer size to be Rs 10 crore.</w:t>
      </w:r>
    </w:p>
    <w:p>
      <w:pPr>
        <w:pStyle w:val="NoSpacing"/>
        <w:rPr>
          <w:rFonts w:ascii="Calibri" w:hAnsi="Calibri"/>
          <w:sz w:val="28"/>
          <w:szCs w:val="28"/>
        </w:rPr>
      </w:pPr>
      <w:r>
        <w:rPr>
          <w:rFonts w:ascii="Calibri" w:hAnsi="Calibri"/>
          <w:sz w:val="28"/>
          <w:szCs w:val="28"/>
        </w:rPr>
      </w:r>
    </w:p>
    <w:p>
      <w:pPr>
        <w:pStyle w:val="NoSpacing"/>
        <w:ind w:firstLine="360"/>
        <w:rPr>
          <w:rFonts w:ascii="Calibri" w:hAnsi="Calibri"/>
          <w:sz w:val="28"/>
          <w:szCs w:val="28"/>
        </w:rPr>
      </w:pPr>
      <w:r>
        <w:rPr>
          <w:rFonts w:ascii="Calibri" w:hAnsi="Calibri"/>
          <w:sz w:val="28"/>
          <w:szCs w:val="28"/>
        </w:rPr>
        <w:t xml:space="preserve">(3) The minimum application size and minimum trading lot to be INR two lakh  </w:t>
        <w:tab/>
        <w:t>and in multiples of INR two lakh thereof.</w:t>
      </w:r>
    </w:p>
    <w:p>
      <w:pPr>
        <w:pStyle w:val="NoSpacing"/>
        <w:rPr>
          <w:rFonts w:ascii="Calibri" w:hAnsi="Calibri"/>
          <w:sz w:val="28"/>
          <w:szCs w:val="28"/>
        </w:rPr>
      </w:pPr>
      <w:r>
        <w:rPr>
          <w:rFonts w:ascii="Calibri" w:hAnsi="Calibri"/>
          <w:sz w:val="28"/>
          <w:szCs w:val="28"/>
        </w:rPr>
      </w:r>
    </w:p>
    <w:p>
      <w:pPr>
        <w:pStyle w:val="NoSpacing"/>
        <w:ind w:firstLine="360"/>
        <w:rPr>
          <w:rFonts w:ascii="Calibri" w:hAnsi="Calibri"/>
          <w:sz w:val="28"/>
          <w:szCs w:val="28"/>
        </w:rPr>
      </w:pPr>
      <w:r>
        <w:rPr>
          <w:rFonts w:ascii="Calibri" w:hAnsi="Calibri"/>
          <w:sz w:val="28"/>
          <w:szCs w:val="28"/>
        </w:rPr>
        <w:t xml:space="preserve">(4) Minimum   number   of   allottees   to   be   50   and   allotment   shall   be    </w:t>
        <w:tab/>
        <w:t>on proportionate basis.</w:t>
      </w:r>
    </w:p>
    <w:p>
      <w:pPr>
        <w:pStyle w:val="NoSpacing"/>
        <w:rPr>
          <w:rFonts w:ascii="Calibri" w:hAnsi="Calibri"/>
          <w:sz w:val="28"/>
          <w:szCs w:val="28"/>
        </w:rPr>
      </w:pPr>
      <w:r>
        <w:rPr>
          <w:rFonts w:ascii="Calibri" w:hAnsi="Calibri"/>
          <w:sz w:val="28"/>
          <w:szCs w:val="28"/>
        </w:rPr>
      </w:r>
    </w:p>
    <w:p>
      <w:pPr>
        <w:pStyle w:val="NoSpacing"/>
        <w:ind w:firstLine="360"/>
        <w:rPr>
          <w:rFonts w:ascii="Calibri" w:hAnsi="Calibri"/>
          <w:sz w:val="28"/>
          <w:szCs w:val="28"/>
        </w:rPr>
      </w:pPr>
      <w:r>
        <w:rPr>
          <w:rFonts w:ascii="Calibri" w:hAnsi="Calibri"/>
          <w:sz w:val="28"/>
          <w:szCs w:val="28"/>
        </w:rPr>
        <w:t xml:space="preserve">(5) No  requirement  of  minimum  reservation  of  allocation  to  specific  </w:t>
        <w:tab/>
        <w:t>category of investors.</w:t>
      </w:r>
    </w:p>
    <w:p>
      <w:pPr>
        <w:pStyle w:val="NoSpacing"/>
        <w:rPr>
          <w:rFonts w:ascii="Calibri" w:hAnsi="Calibri"/>
          <w:sz w:val="28"/>
          <w:szCs w:val="28"/>
        </w:rPr>
      </w:pPr>
      <w:r>
        <w:rPr>
          <w:rFonts w:ascii="Calibri" w:hAnsi="Calibri"/>
          <w:sz w:val="28"/>
          <w:szCs w:val="28"/>
        </w:rPr>
      </w:r>
    </w:p>
    <w:p>
      <w:pPr>
        <w:pStyle w:val="NoSpacing"/>
        <w:ind w:firstLine="360"/>
        <w:rPr>
          <w:rFonts w:ascii="Calibri" w:hAnsi="Calibri"/>
          <w:sz w:val="28"/>
          <w:szCs w:val="28"/>
        </w:rPr>
      </w:pPr>
      <w:r>
        <w:rPr>
          <w:rFonts w:ascii="Calibri" w:hAnsi="Calibri"/>
          <w:sz w:val="28"/>
          <w:szCs w:val="28"/>
        </w:rPr>
        <w:t xml:space="preserve">(6) Migration allowed to main board if the company satisfies the conditions for </w:t>
      </w:r>
    </w:p>
    <w:p>
      <w:pPr>
        <w:pStyle w:val="NoSpacing"/>
        <w:rPr>
          <w:rFonts w:ascii="Calibri" w:hAnsi="Calibri"/>
          <w:sz w:val="28"/>
          <w:szCs w:val="28"/>
        </w:rPr>
      </w:pPr>
      <w:r>
        <w:rPr>
          <w:rFonts w:ascii="Calibri" w:hAnsi="Calibri"/>
          <w:sz w:val="28"/>
          <w:szCs w:val="28"/>
        </w:rPr>
        <w:t xml:space="preserve">      </w:t>
      </w:r>
      <w:r>
        <w:rPr>
          <w:rFonts w:ascii="Calibri" w:hAnsi="Calibri"/>
          <w:sz w:val="28"/>
          <w:szCs w:val="28"/>
        </w:rPr>
        <w:tab/>
        <w:t xml:space="preserve">migration. </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sz w:val="28"/>
          <w:szCs w:val="28"/>
        </w:rPr>
        <w:t>Model Version 1 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t>integrity, experience and solvency</w:t>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r>
    </w:p>
    <w:p>
      <w:pPr>
        <w:pStyle w:val="NoSpacing"/>
        <w:rPr>
          <w:rFonts w:ascii="Calibri" w:hAnsi="Calibri"/>
          <w:b/>
          <w:b/>
          <w:bCs/>
          <w:sz w:val="28"/>
          <w:szCs w:val="28"/>
        </w:rPr>
      </w:pPr>
      <w:r>
        <w:rPr>
          <w:rFonts w:ascii="Calibri" w:hAnsi="Calibri"/>
          <w:b/>
          <w:bCs/>
          <w:i w:val="false"/>
          <w:caps w:val="false"/>
          <w:smallCaps w:val="false"/>
          <w:color w:val="212121"/>
          <w:spacing w:val="0"/>
          <w:sz w:val="28"/>
          <w:szCs w:val="28"/>
        </w:rPr>
        <w:t>-------------------------------------------------------------------------</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sz w:val="28"/>
          <w:szCs w:val="28"/>
        </w:rPr>
        <w:t>Q.4 What is meant by 'Migration to Main Board'?</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bCs/>
          <w:sz w:val="28"/>
          <w:szCs w:val="28"/>
        </w:rPr>
        <w:t>Your Ans.</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In  terms  of  the  ICDR  Regulations,  IGP  company shall  be  eligible  to  trade  on  the  main  board  of  the  stock  exchange  provided  it fulfills conditions of the exchange, viz., during the last three years, it has profits of  at  least  fifteen crores,  net  tangible  asset  of  at  least INR three  crores  &amp;  net worth of at least one crore, listing on IGP for minimum period of one year, has minimum two hundred shareholders etc. </w:t>
      </w:r>
    </w:p>
    <w:p>
      <w:pPr>
        <w:pStyle w:val="NoSpacing"/>
        <w:rPr>
          <w:rFonts w:ascii="Calibri" w:hAnsi="Calibri"/>
          <w:sz w:val="28"/>
          <w:szCs w:val="28"/>
        </w:rPr>
      </w:pPr>
      <w:r>
        <w:rPr>
          <w:rFonts w:ascii="Calibri" w:hAnsi="Calibri"/>
          <w:sz w:val="28"/>
          <w:szCs w:val="28"/>
        </w:rPr>
        <w:t>Further in case the IGP company does not satisfy the requirements of profitability, net worth, net assets etc. as required under Regulation 292 (2) of ICDR, 2018, then such IGP company can migrate to the main board provided seventy five percent(75%)of its total capital as on the date of application of migration to the main board is held by QIBs.</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sz w:val="28"/>
          <w:szCs w:val="28"/>
        </w:rPr>
        <w:t>Model Version 1 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t>Minimum number of prospective allottees is fifty</w:t>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r>
    </w:p>
    <w:p>
      <w:pPr>
        <w:pStyle w:val="NoSpacing"/>
        <w:rPr>
          <w:rFonts w:ascii="Calibri" w:hAnsi="Calibri"/>
          <w:b/>
          <w:b/>
          <w:bCs/>
          <w:sz w:val="28"/>
          <w:szCs w:val="28"/>
        </w:rPr>
      </w:pPr>
      <w:r>
        <w:rPr>
          <w:rFonts w:ascii="Calibri" w:hAnsi="Calibri"/>
          <w:b/>
          <w:bCs/>
          <w:i w:val="false"/>
          <w:caps w:val="false"/>
          <w:smallCaps w:val="false"/>
          <w:color w:val="212121"/>
          <w:spacing w:val="0"/>
          <w:sz w:val="28"/>
          <w:szCs w:val="28"/>
        </w:rPr>
        <w:t>-------------------------------------------------------------------------</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sz w:val="28"/>
          <w:szCs w:val="28"/>
        </w:rPr>
        <w:t>Q.5 Why are Broad Market Indices created and which are the major Domestic &amp; International broad market indices?</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b/>
          <w:bCs/>
          <w:sz w:val="28"/>
          <w:szCs w:val="28"/>
        </w:rPr>
        <w:t>Your Ans.</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A.  The  broad  market  indices  are  constructed  to  represent  the  performances of large    universe    of    companies    traded    on    an    exchange (domestic    or international).    Thus,  the  process  and  criteria  for  selection  of  representative </w:t>
      </w:r>
    </w:p>
    <w:p>
      <w:pPr>
        <w:pStyle w:val="NoSpacing"/>
        <w:rPr>
          <w:rFonts w:ascii="Calibri" w:hAnsi="Calibri"/>
          <w:sz w:val="28"/>
          <w:szCs w:val="28"/>
        </w:rPr>
      </w:pPr>
      <w:r>
        <w:rPr>
          <w:rFonts w:ascii="Calibri" w:hAnsi="Calibri"/>
          <w:sz w:val="28"/>
          <w:szCs w:val="28"/>
        </w:rPr>
        <w:t xml:space="preserve">stocks  in  such  broad  market  indices  is of  critical  importance. </w:t>
      </w:r>
    </w:p>
    <w:p>
      <w:pPr>
        <w:pStyle w:val="NoSpacing"/>
        <w:rPr>
          <w:rFonts w:ascii="Calibri" w:hAnsi="Calibri"/>
          <w:sz w:val="28"/>
          <w:szCs w:val="28"/>
        </w:rPr>
      </w:pPr>
      <w:r>
        <w:rPr>
          <w:rFonts w:ascii="Calibri" w:hAnsi="Calibri"/>
          <w:sz w:val="28"/>
          <w:szCs w:val="28"/>
        </w:rPr>
        <w:t>Some of the major indexes are:</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(1) Nifty 50:Constituents of NIFTY 100 index are eligible for inclusion in the NIFTY 50 index. The Nifty 50 consists of the largest 50 stocks by free float  market  capitalization  and  liquidity, subject  to  certain stock  selection criteria.</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(2) S&amp;P BSE SENSEX 30: Constituents of S&amp;P BSE 100 index are eligible for inclusion in the S&amp;P BSE Sensex 30 index.  The S&amp;P BSE Sensex 30 consist of 30 </w:t>
      </w:r>
    </w:p>
    <w:p>
      <w:pPr>
        <w:pStyle w:val="NoSpacing"/>
        <w:rPr>
          <w:rFonts w:ascii="Calibri" w:hAnsi="Calibri"/>
          <w:sz w:val="28"/>
          <w:szCs w:val="28"/>
        </w:rPr>
      </w:pPr>
      <w:r>
        <w:rPr>
          <w:rFonts w:ascii="Calibri" w:hAnsi="Calibri"/>
          <w:sz w:val="28"/>
          <w:szCs w:val="28"/>
        </w:rPr>
        <w:t xml:space="preserve">largest,  most  liquid  and  financially  sound  companies  that  are  listed  at </w:t>
      </w:r>
    </w:p>
    <w:p>
      <w:pPr>
        <w:pStyle w:val="NoSpacing"/>
        <w:rPr>
          <w:rFonts w:ascii="Calibri" w:hAnsi="Calibri"/>
          <w:sz w:val="28"/>
          <w:szCs w:val="28"/>
        </w:rPr>
      </w:pPr>
      <w:r>
        <w:rPr>
          <w:rFonts w:ascii="Calibri" w:hAnsi="Calibri"/>
          <w:sz w:val="28"/>
          <w:szCs w:val="28"/>
        </w:rPr>
        <w:t>BSE.</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(3) FTSE 100: The FTSE 100 consist of the largest 100 UK companies by full </w:t>
      </w:r>
    </w:p>
    <w:p>
      <w:pPr>
        <w:pStyle w:val="NoSpacing"/>
        <w:rPr>
          <w:rFonts w:ascii="Calibri" w:hAnsi="Calibri"/>
          <w:sz w:val="28"/>
          <w:szCs w:val="28"/>
        </w:rPr>
      </w:pPr>
      <w:r>
        <w:rPr>
          <w:rFonts w:ascii="Calibri" w:hAnsi="Calibri"/>
          <w:sz w:val="28"/>
          <w:szCs w:val="28"/>
        </w:rPr>
        <w:t>market  capitalization  (i.e.  before  the  application  of  any  investability weightings) which will qualify for inclusion in the index.</w:t>
      </w:r>
    </w:p>
    <w:p>
      <w:pPr>
        <w:pStyle w:val="NoSpacing"/>
        <w:rPr>
          <w:rFonts w:ascii="Calibri" w:hAnsi="Calibri"/>
          <w:sz w:val="28"/>
          <w:szCs w:val="28"/>
        </w:rPr>
      </w:pPr>
      <w:r>
        <w:rPr>
          <w:rFonts w:ascii="Calibri" w:hAnsi="Calibri"/>
          <w:sz w:val="28"/>
          <w:szCs w:val="28"/>
        </w:rPr>
      </w:r>
    </w:p>
    <w:p>
      <w:pPr>
        <w:pStyle w:val="NoSpacing"/>
        <w:rPr>
          <w:rFonts w:ascii="Calibri" w:hAnsi="Calibri"/>
          <w:sz w:val="28"/>
          <w:szCs w:val="28"/>
        </w:rPr>
      </w:pPr>
      <w:r>
        <w:rPr>
          <w:rFonts w:ascii="Calibri" w:hAnsi="Calibri"/>
          <w:sz w:val="28"/>
          <w:szCs w:val="28"/>
        </w:rPr>
        <w:t xml:space="preserve">(4) Nasdaq 100: The   Nasdaq   100   index   is   designed   to   measure   the </w:t>
      </w:r>
    </w:p>
    <w:p>
      <w:pPr>
        <w:pStyle w:val="NoSpacing"/>
        <w:rPr>
          <w:rFonts w:ascii="Calibri" w:hAnsi="Calibri"/>
          <w:sz w:val="28"/>
          <w:szCs w:val="28"/>
        </w:rPr>
      </w:pPr>
      <w:r>
        <w:rPr>
          <w:rFonts w:ascii="Calibri" w:hAnsi="Calibri"/>
          <w:sz w:val="28"/>
          <w:szCs w:val="28"/>
        </w:rPr>
        <w:t>performance of 100 of the largest Nasdaq listed non-financial companies.</w:t>
      </w:r>
    </w:p>
    <w:p>
      <w:pPr>
        <w:pStyle w:val="NoSpacing"/>
        <w:rPr>
          <w:rFonts w:ascii="Calibri" w:hAnsi="Calibri"/>
          <w:sz w:val="28"/>
          <w:szCs w:val="28"/>
        </w:rPr>
      </w:pPr>
      <w:r>
        <w:rPr>
          <w:rFonts w:ascii="Calibri" w:hAnsi="Calibri"/>
          <w:sz w:val="28"/>
          <w:szCs w:val="28"/>
        </w:rPr>
      </w:r>
    </w:p>
    <w:p>
      <w:pPr>
        <w:pStyle w:val="NoSpacing"/>
        <w:rPr>
          <w:rFonts w:ascii="Calibri" w:hAnsi="Calibri"/>
          <w:b/>
          <w:b/>
          <w:bCs/>
          <w:sz w:val="28"/>
          <w:szCs w:val="28"/>
        </w:rPr>
      </w:pPr>
      <w:r>
        <w:rPr>
          <w:rFonts w:ascii="Calibri" w:hAnsi="Calibri"/>
          <w:b/>
          <w:bCs/>
          <w:sz w:val="28"/>
          <w:szCs w:val="28"/>
        </w:rPr>
        <w:t>Model Version 1 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val="false"/>
          <w:b w:val="false"/>
          <w:bCs w:val="false"/>
          <w:sz w:val="28"/>
          <w:szCs w:val="28"/>
        </w:rPr>
      </w:pPr>
      <w:r>
        <w:rPr>
          <w:rFonts w:ascii="Calibri" w:hAnsi="Calibri"/>
          <w:b w:val="false"/>
          <w:bCs w:val="false"/>
          <w:sz w:val="28"/>
          <w:szCs w:val="28"/>
        </w:rPr>
        <w:t>NOTE:</w:t>
      </w:r>
      <w:r>
        <w:rPr>
          <w:rFonts w:ascii="Calibri" w:hAnsi="Calibri"/>
          <w:b w:val="false"/>
          <w:bCs w:val="false"/>
          <w:sz w:val="28"/>
          <w:szCs w:val="28"/>
        </w:rPr>
        <w:t xml:space="preserve"> </w:t>
      </w:r>
      <w:r>
        <w:rPr>
          <w:rFonts w:ascii="Calibri" w:hAnsi="Calibri"/>
          <w:b w:val="false"/>
          <w:bCs w:val="false"/>
          <w:sz w:val="28"/>
          <w:szCs w:val="28"/>
        </w:rPr>
        <w:t>I split the query – Model doesn’t perform well on composite queries.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sz w:val="28"/>
          <w:szCs w:val="28"/>
        </w:rPr>
      </w:pPr>
      <w:r>
        <w:rPr>
          <w:rFonts w:ascii="Calibri" w:hAnsi="Calibri"/>
          <w:b/>
          <w:bCs/>
          <w:sz w:val="28"/>
          <w:szCs w:val="28"/>
        </w:rPr>
        <w:t>Q1.  Why are Broad Market Indices constructed?</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b/>
          <w:bCs/>
          <w:sz w:val="28"/>
          <w:szCs w:val="28"/>
        </w:rPr>
      </w:pPr>
      <w:r>
        <w:rPr>
          <w:rFonts w:ascii="Calibri" w:hAnsi="Calibri"/>
          <w:b/>
          <w:bCs/>
          <w:sz w:val="28"/>
          <w:szCs w:val="28"/>
        </w:rPr>
        <w:t>Model_Ans.</w:t>
      </w:r>
    </w:p>
    <w:p>
      <w:pPr>
        <w:pStyle w:val="NoSpacing"/>
        <w:rPr>
          <w:rFonts w:ascii="Calibri" w:hAnsi="Calibri"/>
          <w:b/>
          <w:b/>
          <w:bCs/>
          <w:sz w:val="28"/>
          <w:szCs w:val="28"/>
        </w:rPr>
      </w:pPr>
      <w:r>
        <w:rPr>
          <w:rFonts w:ascii="Calibri" w:hAnsi="Calibri"/>
          <w:b/>
          <w:bCs/>
          <w:sz w:val="28"/>
          <w:szCs w:val="28"/>
        </w:rPr>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t>to ensure that they work in tandem according to the strategy and not at cross purposes</w:t>
      </w:r>
    </w:p>
    <w:p>
      <w:pPr>
        <w:pStyle w:val="NoSpacing"/>
        <w:rPr>
          <w:rFonts w:ascii="Calibri" w:hAnsi="Calibri"/>
          <w:b w:val="false"/>
          <w:b/>
          <w:bCs/>
          <w:i w:val="false"/>
          <w:caps w:val="false"/>
          <w:smallCaps w:val="false"/>
          <w:color w:val="212121"/>
          <w:spacing w:val="0"/>
          <w:sz w:val="28"/>
          <w:szCs w:val="28"/>
        </w:rPr>
      </w:pPr>
      <w:r>
        <w:rPr>
          <w:rFonts w:ascii="Calibri" w:hAnsi="Calibri"/>
          <w:b w:val="false"/>
          <w:bCs/>
          <w:i w:val="false"/>
          <w:caps w:val="false"/>
          <w:smallCaps w:val="false"/>
          <w:color w:val="212121"/>
          <w:spacing w:val="0"/>
          <w:sz w:val="28"/>
          <w:szCs w:val="28"/>
        </w:rPr>
      </w:r>
    </w:p>
    <w:p>
      <w:pPr>
        <w:pStyle w:val="NoSpacing"/>
        <w:rPr>
          <w:rFonts w:ascii="Calibri" w:hAnsi="Calibri"/>
          <w:b/>
          <w:b/>
          <w:bCs/>
          <w:i w:val="false"/>
          <w:caps w:val="false"/>
          <w:smallCaps w:val="false"/>
          <w:color w:val="212121"/>
          <w:spacing w:val="0"/>
          <w:sz w:val="28"/>
          <w:szCs w:val="28"/>
        </w:rPr>
      </w:pPr>
      <w:r>
        <w:rPr>
          <w:rFonts w:ascii="Calibri" w:hAnsi="Calibri"/>
          <w:b/>
          <w:bCs/>
          <w:i w:val="false"/>
          <w:caps w:val="false"/>
          <w:smallCaps w:val="false"/>
          <w:color w:val="212121"/>
          <w:spacing w:val="0"/>
          <w:sz w:val="28"/>
          <w:szCs w:val="28"/>
        </w:rPr>
        <w:t>Q2.  which are the major Domestic &amp; International broad market indices</w:t>
      </w:r>
    </w:p>
    <w:p>
      <w:pPr>
        <w:pStyle w:val="NoSpacing"/>
        <w:rPr>
          <w:rFonts w:ascii="Calibri" w:hAnsi="Calibri"/>
          <w:b/>
          <w:b/>
          <w:bCs/>
          <w:i w:val="false"/>
          <w:caps w:val="false"/>
          <w:smallCaps w:val="false"/>
          <w:color w:val="212121"/>
          <w:spacing w:val="0"/>
          <w:sz w:val="28"/>
          <w:szCs w:val="28"/>
        </w:rPr>
      </w:pPr>
      <w:r>
        <w:rPr>
          <w:rFonts w:ascii="Calibri" w:hAnsi="Calibri"/>
          <w:b/>
          <w:bCs/>
          <w:i w:val="false"/>
          <w:caps w:val="false"/>
          <w:smallCaps w:val="false"/>
          <w:color w:val="212121"/>
          <w:spacing w:val="0"/>
          <w:sz w:val="28"/>
          <w:szCs w:val="28"/>
        </w:rPr>
      </w:r>
    </w:p>
    <w:p>
      <w:pPr>
        <w:pStyle w:val="NoSpacing"/>
        <w:rPr>
          <w:rFonts w:ascii="Calibri" w:hAnsi="Calibri"/>
          <w:b/>
          <w:b/>
          <w:bCs/>
          <w:i w:val="false"/>
          <w:caps w:val="false"/>
          <w:smallCaps w:val="false"/>
          <w:color w:val="212121"/>
          <w:spacing w:val="0"/>
          <w:sz w:val="28"/>
          <w:szCs w:val="28"/>
        </w:rPr>
      </w:pPr>
      <w:r>
        <w:rPr>
          <w:rFonts w:ascii="Calibri" w:hAnsi="Calibri"/>
          <w:b/>
          <w:bCs/>
          <w:i w:val="false"/>
          <w:caps w:val="false"/>
          <w:smallCaps w:val="false"/>
          <w:color w:val="212121"/>
          <w:spacing w:val="0"/>
          <w:sz w:val="28"/>
          <w:szCs w:val="28"/>
        </w:rPr>
        <w:t>Model_Ans.</w:t>
      </w:r>
    </w:p>
    <w:p>
      <w:pPr>
        <w:pStyle w:val="NoSpacing"/>
        <w:rPr>
          <w:rFonts w:ascii="Calibri" w:hAnsi="Calibri"/>
          <w:b/>
          <w:b/>
          <w:bCs/>
          <w:i w:val="false"/>
          <w:caps w:val="false"/>
          <w:smallCaps w:val="false"/>
          <w:color w:val="212121"/>
          <w:spacing w:val="0"/>
          <w:sz w:val="28"/>
          <w:szCs w:val="28"/>
        </w:rPr>
      </w:pPr>
      <w:r>
        <w:rPr>
          <w:rFonts w:ascii="Calibri" w:hAnsi="Calibri"/>
          <w:b/>
          <w:bCs/>
          <w:i w:val="false"/>
          <w:caps w:val="false"/>
          <w:smallCaps w:val="false"/>
          <w:color w:val="212121"/>
          <w:spacing w:val="0"/>
          <w:sz w:val="28"/>
          <w:szCs w:val="28"/>
        </w:rPr>
      </w:r>
    </w:p>
    <w:p>
      <w:pPr>
        <w:pStyle w:val="NoSpacing"/>
        <w:rPr>
          <w:rFonts w:ascii="Calibri" w:hAnsi="Calibri"/>
          <w:b w:val="false"/>
          <w:b w:val="false"/>
          <w:bCs w:val="false"/>
          <w:i w:val="false"/>
          <w:caps w:val="false"/>
          <w:smallCaps w:val="false"/>
          <w:color w:val="212121"/>
          <w:spacing w:val="0"/>
          <w:sz w:val="28"/>
          <w:szCs w:val="28"/>
        </w:rPr>
      </w:pPr>
      <w:r>
        <w:rPr>
          <w:rFonts w:ascii="Calibri" w:hAnsi="Calibri"/>
          <w:b w:val="false"/>
          <w:bCs w:val="false"/>
          <w:i w:val="false"/>
          <w:caps w:val="false"/>
          <w:smallCaps w:val="false"/>
          <w:color w:val="212121"/>
          <w:spacing w:val="0"/>
          <w:sz w:val="28"/>
          <w:szCs w:val="28"/>
        </w:rPr>
        <w:t>Sensex and Nifty</w:t>
      </w:r>
    </w:p>
    <w:p>
      <w:pPr>
        <w:pStyle w:val="NoSpacing"/>
        <w:rPr>
          <w:rFonts w:ascii="Calibri" w:hAnsi="Calibri"/>
          <w:b/>
          <w:b/>
          <w:bCs/>
          <w:sz w:val="28"/>
          <w:szCs w:val="28"/>
        </w:rPr>
      </w:pPr>
      <w:r>
        <w:rPr>
          <w:rFonts w:ascii="Calibri" w:hAnsi="Calibri"/>
          <w:b/>
          <w:bCs/>
          <w:sz w:val="28"/>
          <w:szCs w:val="28"/>
        </w:rPr>
      </w:r>
    </w:p>
    <w:p>
      <w:pPr>
        <w:pStyle w:val="Normal"/>
        <w:rPr>
          <w:rFonts w:ascii="Calibri" w:hAnsi="Calibri"/>
          <w:sz w:val="28"/>
          <w:szCs w:val="28"/>
        </w:rPr>
      </w:pPr>
      <w:r>
        <w:rPr>
          <w:rFonts w:ascii="Calibri" w:hAnsi="Calibri"/>
          <w:sz w:val="28"/>
          <w:szCs w:val="28"/>
        </w:rPr>
      </w:r>
    </w:p>
    <w:p>
      <w:pPr>
        <w:pStyle w:val="Normal"/>
        <w:spacing w:before="0" w:after="200"/>
        <w:rPr>
          <w:rFonts w:ascii="Calibri" w:hAnsi="Calibri"/>
          <w:sz w:val="28"/>
          <w:szCs w:val="28"/>
        </w:rPr>
      </w:pPr>
      <w:r>
        <w:rPr>
          <w:rFonts w:ascii="Calibri" w:hAnsi="Calibri"/>
          <w:sz w:val="28"/>
          <w:szCs w:val="28"/>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2ca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e3b2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LibreOffice/6.4.6.2$Linux_X86_64 LibreOffice_project/40$Build-2</Application>
  <Pages>5</Pages>
  <Words>957</Words>
  <Characters>4982</Characters>
  <CharactersWithSpaces>6147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2021-02-23T14:52:00Z</dcterms:created>
  <dc:creator>Vrinda</dc:creator>
  <dc:description/>
  <dc:language>en-IN</dc:language>
  <cp:lastModifiedBy/>
  <dcterms:modified xsi:type="dcterms:W3CDTF">2021-02-26T18:01:15Z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