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8A"/>
          <w:sz w:val="44"/>
        </w:rPr>
        <w:t>TECHNICAL ARCHITECTURE DOCUMENT (TAD)</w:t>
      </w:r>
    </w:p>
    <w:p>
      <w:pPr>
        <w:spacing w:before="0" w:after="280"/>
      </w:pPr>
      <w:r>
        <w:rPr>
          <w:rFonts w:ascii="Arial" w:hAnsi="Arial"/>
          <w:color w:val="64748B"/>
          <w:sz w:val="22"/>
        </w:rPr>
        <w:t>EventPulse Engine: High-Throughput Webhook Orchestration, Ingestion Pipeline &amp; Telemetry Gateway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Architecture Classification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Distributed Asynchronous Event Broker &amp; Telemetry Gateway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Core Technology Stack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Node.js (TypeScript), Express.js, Next.js, Redis 7 (BullMQ), PostgreSQL 16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Execution Model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Containerized Multi-Node Service with Docker Compose &amp; Linux VPS Deployment</w:t>
            </w:r>
          </w:p>
        </w:tc>
      </w:tr>
      <w:tr>
        <w:tc>
          <w:tcPr>
            <w:tcW w:type="dxa" w:w="3312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E293B"/>
                <w:sz w:val="18"/>
              </w:rPr>
              <w:t>Author &amp; Status</w:t>
            </w:r>
          </w:p>
        </w:tc>
        <w:tc>
          <w:tcPr>
            <w:tcW w:type="dxa" w:w="64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475569"/>
                <w:sz w:val="18"/>
              </w:rPr>
              <w:t>Principal Cloud &amp; Backend Systems Architect | Production Baseline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1. System Components Breakdown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The EventPulse architecture strictly decouples low-latency HTTP ingress from asynchronous background execution, ensuring incoming network calls are acknowledged in sub-25ms regardless of downstream target responsiveness.</w:t>
      </w:r>
    </w:p>
    <w:p>
      <w:pPr>
        <w:keepNext/>
        <w:spacing w:before="200" w:after="80"/>
      </w:pPr>
      <w:r>
        <w:rPr>
          <w:rFonts w:ascii="Arial" w:hAnsi="Arial"/>
          <w:b/>
          <w:color w:val="0F766E"/>
          <w:sz w:val="21"/>
        </w:rPr>
        <w:t>1.1 Ingress Web Server (API Gateway)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Runtime: Node.js 20+ LTS with TypeScript using Express.js / Fastify behind a reverse-proxy (Nginx / Cloudflare).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Responsibilities: Tenant authentication via hashed API keys, payload schema enforcement (Zod), cryptographic validation, and atomic idempotency gating via Redis.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Concurrency Model: Non-blocking single-threaded event loop scaled horizontally via Node.js cluster mode across available vCPU cores.</w:t>
      </w:r>
    </w:p>
    <w:p>
      <w:pPr>
        <w:keepNext/>
        <w:spacing w:before="200" w:after="80"/>
      </w:pPr>
      <w:r>
        <w:rPr>
          <w:rFonts w:ascii="Arial" w:hAnsi="Arial"/>
          <w:b/>
          <w:color w:val="0F766E"/>
          <w:sz w:val="21"/>
        </w:rPr>
        <w:t>1.2 Worker Cluster (Background Delivery Nodes)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Runtime: Dedicated TypeScript background worker daemon consuming from BullMQ queues.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Responsibilities: Outbound HTTP dispatch, HMAC-SHA256 signature calculation, circuit-breaker evaluation, timeout enforcement (AbortController @ 5000ms), and Dead-Letter Queue (DLQ) state transitions.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Scalability: Workers scale independently of web servers based on Redis queue depth (Lag-based auto-scaling).</w:t>
      </w:r>
    </w:p>
    <w:p>
      <w:pPr>
        <w:keepNext/>
        <w:spacing w:before="200" w:after="80"/>
      </w:pPr>
      <w:r>
        <w:rPr>
          <w:rFonts w:ascii="Arial" w:hAnsi="Arial"/>
          <w:b/>
          <w:color w:val="0F766E"/>
          <w:sz w:val="21"/>
        </w:rPr>
        <w:t>1.3 In-Memory Broker &amp; Cache Layer (Redis 7.x)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Role: Transient state engine handling message brokering (BullMQ), atomic distributed locking (Redlock), sliding-window rate limiting, and 24-hour TTL idempotency caches.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Memory Management: Volatile LRU eviction policy enabled; hybrid storage design ensures payloads &gt; 4KB are immediately offloaded to PostgreSQL, keeping Redis memory footprint strictly under 150MB.</w:t>
      </w:r>
    </w:p>
    <w:p>
      <w:pPr>
        <w:keepNext/>
        <w:spacing w:before="200" w:after="80"/>
      </w:pPr>
      <w:r>
        <w:rPr>
          <w:rFonts w:ascii="Arial" w:hAnsi="Arial"/>
          <w:b/>
          <w:color w:val="0F766E"/>
          <w:sz w:val="21"/>
        </w:rPr>
        <w:t>1.4 Durable Relational Store (PostgreSQL 16)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Role: Source of truth for tenant configurations, append-only administrative audit logs, offloaded large payloads (&gt; 4KB), and aggregated delivery telemetry.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Schema Optimization: Compound B-tree indices on (tenant_id, created_at) and (status, destination_url). Automated partitioned tables for historical event logs.</w:t>
      </w:r>
    </w:p>
    <w:p>
      <w:pPr>
        <w:keepNext/>
        <w:spacing w:before="200" w:after="80"/>
      </w:pPr>
      <w:r>
        <w:rPr>
          <w:rFonts w:ascii="Arial" w:hAnsi="Arial"/>
          <w:b/>
          <w:color w:val="0F766E"/>
          <w:sz w:val="21"/>
        </w:rPr>
        <w:t>1.5 Real-Time Telemetry &amp; Observability Hub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Engine: In-memory sliding ring-buffer with automated 2-second micro-batch flush to PostgreSQL.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Client Transport: Native Server-Sent Events (SSE) broadcasting real-time RPS, p50/p95/p99 latencies, and worker retry state deltas to the Next.js frontend.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2. End-to-End Data Flow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The lifecycle of an event follows an asynchronous pipeline optimized for reliability, deduplication, and zero payload drop: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1: </w:t>
      </w:r>
      <w:r>
        <w:rPr>
          <w:rFonts w:ascii="Arial" w:hAnsi="Arial"/>
          <w:color w:val="334155"/>
          <w:sz w:val="19"/>
        </w:rPr>
        <w:t>Client Dispatch: Tenant client executes POST /api/v1/events with JSON body, Idempotency-Key header, and X-API-Key.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2: </w:t>
      </w:r>
      <w:r>
        <w:rPr>
          <w:rFonts w:ascii="Arial" w:hAnsi="Arial"/>
          <w:color w:val="334155"/>
          <w:sz w:val="19"/>
        </w:rPr>
        <w:t>Ingress Authentication &amp; Deduplication: API Gateway checks API key against in-memory tenant cache. It runs atomic SETNX in Redis for Idempotency-Key. If hit, returns cached 200 OK immediately; if new, reserves key with 24h TTL.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3: </w:t>
      </w:r>
      <w:r>
        <w:rPr>
          <w:rFonts w:ascii="Arial" w:hAnsi="Arial"/>
          <w:color w:val="334155"/>
          <w:sz w:val="19"/>
        </w:rPr>
        <w:t>Schema Validation &amp; Hybrid Storage: Body validated via Zod. If size &lt;= 4KB, payload is prepared for direct queue injection. If &gt; 4KB, payload is written to PostgreSQL payload_blobs and replaced with payload_ref_id.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4: </w:t>
      </w:r>
      <w:r>
        <w:rPr>
          <w:rFonts w:ascii="Arial" w:hAnsi="Arial"/>
          <w:color w:val="334155"/>
          <w:sz w:val="19"/>
        </w:rPr>
        <w:t>Queue Ingestion &amp; Client ACK: Event pushed to BullMQ active queue in Redis. API Gateway returns HTTP 202 Accepted with event_id in &lt; 25ms.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5: </w:t>
      </w:r>
      <w:r>
        <w:rPr>
          <w:rFonts w:ascii="Arial" w:hAnsi="Arial"/>
          <w:color w:val="334155"/>
          <w:sz w:val="19"/>
        </w:rPr>
        <w:t>Worker Dispatch &amp; Outbound Delivery: Worker node claims job from Redis, acquires distributed lock, generates HMAC-SHA256 signature header, and fires HTTP POST to destination endpoint with a 5000ms timeout.</w:t>
      </w:r>
    </w:p>
    <w:p>
      <w:pPr>
        <w:pStyle w:val="ListBullet"/>
        <w:spacing w:before="20" w:after="60" w:line="276" w:lineRule="auto"/>
      </w:pPr>
      <w:r>
        <w:rPr>
          <w:rFonts w:ascii="Arial" w:hAnsi="Arial"/>
          <w:b/>
          <w:color w:val="0F172A"/>
          <w:sz w:val="19"/>
        </w:rPr>
        <w:t xml:space="preserve">Step 6: </w:t>
      </w:r>
      <w:r>
        <w:rPr>
          <w:rFonts w:ascii="Arial" w:hAnsi="Arial"/>
          <w:color w:val="334155"/>
          <w:sz w:val="19"/>
        </w:rPr>
        <w:t>Resolution / Retry Routing: If destination responds 2xx, job completes, latency is buffered for micro-batch telemetry flush, and DB status marks DELIVERED. If 5xx/timeout/429, backoff calculator reschedules job into delayed queue. If 5 attempts fail, job moves to DLQ.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3. Infrastructure &amp; Deployment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Recommended Technology</w:t>
            </w:r>
          </w:p>
        </w:tc>
        <w:tc>
          <w:tcPr>
            <w:tcW w:type="dxa" w:w="446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Configuration &amp; Operational Strategy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Hosting Target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Single Linux VPS (2-4 vCPU, 4GB RAM) or Docker Swarm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Isolated container network. Eliminates multi-cloud free-tier cold starts, rate limits, and latency spikes.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Containerization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Docker &amp; Docker Compose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Multi-stage Dockerfiles compiling TypeScript to lean production Alpine images (&lt;120MB per container).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CI/CD Pipeline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GitHub Actions</w:t>
            </w:r>
          </w:p>
        </w:tc>
        <w:tc>
          <w:tcPr>
            <w:tcW w:type="dxa" w:w="44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Automated linting, Jest unit/integration tests, Docker container build, and automated SSH deployment on release merge.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Secrets Management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Environment (.env) &amp; Docker Secrets</w:t>
            </w:r>
          </w:p>
        </w:tc>
        <w:tc>
          <w:tcPr>
            <w:tcW w:type="dxa" w:w="44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1E293B"/>
                <w:sz w:val="17"/>
              </w:rPr>
              <w:t>Secrets injected via environment variables; cryptographic keys and master DB strings never committed to Git.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4. Logging, Tracing &amp; Observability Strategy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Structured JSON Logging (Winston / Pino): Every log entry includes timestamp, tenant_id, event_id, worker_id, and trace_id. Formatted as NDJSON for fast parsing and zero console-formatting overhead.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Distributed Tracing &amp; Error Tracking (Sentry): Sentry SDK integrated on both API and Worker processes. Unhandled exceptions or dead-letter transitions automatically capture request payloads, active queue length, and downstream response headers.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Performance Health Probes: /health/liveness checks basic container responsive loop; /health/readiness verifies active connection pools to Redis and PostgreSQL.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Telemetry Micro-Batcher: Worker attempts push execution metrics (duration_ms, http_status) to an internal ring buffer. A dedicated background interval executes single multi-row SQL INSERT every 2 seconds, reducing database I/O by 95%.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26"/>
        </w:rPr>
        <w:t>5. Mermaid C4-Style Component Diagram</w:t>
      </w:r>
    </w:p>
    <w:p>
      <w:pPr>
        <w:spacing w:before="20" w:after="60" w:line="276" w:lineRule="auto"/>
      </w:pPr>
      <w:r>
        <w:rPr>
          <w:rFonts w:ascii="Arial" w:hAnsi="Arial"/>
          <w:color w:val="334155"/>
          <w:sz w:val="19"/>
        </w:rPr>
        <w:t>The diagram below illustrates the exact architectural boundaries, network boundaries, and service relationships:</w:t>
      </w:r>
    </w:p>
    <w:p>
      <w:pPr>
        <w:spacing w:before="80" w:after="160" w:line="252" w:lineRule="auto"/>
        <w:shd w:fill="F1F5F9"/>
      </w:pPr>
      <w:r>
        <w:rPr>
          <w:rFonts w:ascii="Consolas" w:hAnsi="Consolas"/>
          <w:color w:val="0F172A"/>
          <w:sz w:val="17"/>
        </w:rPr>
        <w:t>flowchart TB</w:t>
        <w:br/>
        <w:t xml:space="preserve">    classDef client fill:#1E3A8A,stroke:#0F172A,stroke-width:2px,color:#FFFFFF;</w:t>
        <w:br/>
        <w:t xml:space="preserve">    classDef gateway fill:#0F766E,stroke:#0F172A,stroke-width:2px,color:#FFFFFF;</w:t>
        <w:br/>
        <w:t xml:space="preserve">    classDef worker fill:#4338CA,stroke:#0F172A,stroke-width:2px,color:#FFFFFF;</w:t>
        <w:br/>
        <w:t xml:space="preserve">    classDef store fill:#D97706,stroke:#0F172A,stroke-width:2px,color:#FFFFFF;</w:t>
        <w:br/>
        <w:t xml:space="preserve">    classDef external fill:#475569,stroke:#0F172A,stroke-width:2px,color:#FFFFFF;</w:t>
        <w:br/>
        <w:br/>
        <w:t xml:space="preserve">    subgraph ExternalClients ["External Clients &amp; Consumers"]</w:t>
        <w:br/>
        <w:t xml:space="preserve">        TenantApp[Tenant Application / Client API]:::client</w:t>
        <w:br/>
        <w:t xml:space="preserve">        DashboardUser[Admin / Developer Dashboard]:::client</w:t>
        <w:br/>
        <w:t xml:space="preserve">    end</w:t>
        <w:br/>
        <w:br/>
        <w:t xml:space="preserve">    subgraph IngressTier ["Edge &amp; Ingress Tier (Reverse Proxy &amp; API)"]</w:t>
        <w:br/>
        <w:t xml:space="preserve">        ReverseProxy[Nginx / Cloudflare Edge Gateway]:::gateway</w:t>
        <w:br/>
        <w:t xml:space="preserve">        API_Node[EventPulse Express API Server]:::gateway</w:t>
        <w:br/>
        <w:t xml:space="preserve">        SSE_Server[Server-Sent Events Telemetry Broadcaster]:::gateway</w:t>
        <w:br/>
        <w:t xml:space="preserve">    end</w:t>
        <w:br/>
        <w:br/>
        <w:t xml:space="preserve">    subgraph StateAndQueue ["Broker &amp; Storage Tier"]</w:t>
        <w:br/>
        <w:t xml:space="preserve">        RedisStore[(Redis 7.x Cluster / BullMQ Broker)]:::store</w:t>
        <w:br/>
        <w:t xml:space="preserve">        PostgresDB[(PostgreSQL 16 Durable Database)]:::store</w:t>
        <w:br/>
        <w:t xml:space="preserve">    end</w:t>
        <w:br/>
        <w:br/>
        <w:t xml:space="preserve">    subgraph ExecutionTier ["Asynchronous Execution Tier"]</w:t>
        <w:br/>
        <w:t xml:space="preserve">        WorkerPool[BullMQ Background Worker Cluster]:::worker</w:t>
        <w:br/>
        <w:t xml:space="preserve">        CircuitBreaker[In-Memory Circuit Breaker Registry]:::worker</w:t>
        <w:br/>
        <w:t xml:space="preserve">        DLQ_Replayer[DLQ Throttled Batch Replay Engine]:::worker</w:t>
        <w:br/>
        <w:t xml:space="preserve">    end</w:t>
        <w:br/>
        <w:br/>
        <w:t xml:space="preserve">    subgraph DownstreamSinks ["External Destination Webhooks"]</w:t>
        <w:br/>
        <w:t xml:space="preserve">        CustomerWebhook[Customer HTTP Webhook Receiver]:::external</w:t>
        <w:br/>
        <w:t xml:space="preserve">        MockChaosReceiver[Internal Chaos Testing Sandbox Receiver]:::external</w:t>
        <w:br/>
        <w:t xml:space="preserve">    end</w:t>
        <w:br/>
        <w:br/>
        <w:t xml:space="preserve">    %% Ingress Connections</w:t>
        <w:br/>
        <w:t xml:space="preserve">    TenantApp --&gt;|POST /api/v1/events| ReverseProxy</w:t>
        <w:br/>
        <w:t xml:space="preserve">    DashboardUser --&gt;|Manage &amp; View Metrics| ReverseProxy</w:t>
        <w:br/>
        <w:t xml:space="preserve">    ReverseProxy --&gt;|Proxy Pass| API_Node</w:t>
        <w:br/>
        <w:t xml:space="preserve">    ReverseProxy --&gt;|SSE Stream /telemetry| SSE_Server</w:t>
        <w:br/>
        <w:br/>
        <w:t xml:space="preserve">    %% Ingress to Storage &amp; Queues</w:t>
        <w:br/>
        <w:t xml:space="preserve">    API_Node --&gt;|Atomic SETNX Check &amp; Add Job| RedisStore</w:t>
        <w:br/>
        <w:t xml:space="preserve">    API_Node --&gt;|Write Payloads &gt; 4KB| PostgresDB</w:t>
        <w:br/>
        <w:t xml:space="preserve">    SSE_Server --&gt;|Read Telemetry Deltas| RedisStore</w:t>
        <w:br/>
        <w:br/>
        <w:t xml:space="preserve">    %% Workers Execution</w:t>
        <w:br/>
        <w:t xml:space="preserve">    WorkerPool --&gt;|Consume Jobs &amp; Acquire Lock| RedisStore</w:t>
        <w:br/>
        <w:t xml:space="preserve">    WorkerPool --&gt;|Resolve Large Payload Ref| PostgresDB</w:t>
        <w:br/>
        <w:t xml:space="preserve">    WorkerPool --&gt;|Query / Update Target Status| CircuitBreaker</w:t>
        <w:br/>
        <w:t xml:space="preserve">    WorkerPool --&gt;|Flush Micro-Batched Metrics| PostgresDB</w:t>
        <w:br/>
        <w:br/>
        <w:t xml:space="preserve">    %% Delivery Egress</w:t>
        <w:br/>
        <w:t xml:space="preserve">    WorkerPool --&gt;|HTTP POST with HMAC Signature| CustomerWebhook</w:t>
        <w:br/>
        <w:t xml:space="preserve">    WorkerPool --&gt;|Simulated HTTP Delivery| MockChaosReceiver</w:t>
        <w:br/>
        <w:br/>
        <w:t xml:space="preserve">    %% Failure &amp; DLQ Actions</w:t>
        <w:br/>
        <w:t xml:space="preserve">    WorkerPool --&gt;|Retries Exhausted: Evict to DLQ| RedisStore</w:t>
        <w:br/>
        <w:t xml:space="preserve">    WorkerPool --&gt;|Write Failure Stack Trace| PostgresDB</w:t>
        <w:br/>
        <w:t xml:space="preserve">    DashboardUser -.-&gt;|Trigger DLQ Replay| DLQ_Replayer</w:t>
        <w:br/>
        <w:t xml:space="preserve">    DLQ_Replayer --&gt;|Rate-Limited Ingestion &lt;= 50 rps| RedisStore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