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pPr>
      <w:r>
        <w:rPr>
          <w:rFonts w:ascii="Aptos" w:hAnsi="Aptos"/>
          <w:b/>
          <w:color w:val="2F6B52"/>
          <w:sz w:val="20"/>
        </w:rPr>
        <w:t>PRODUCT REQUIREMENTS DOCUMENT</w:t>
      </w:r>
    </w:p>
    <w:p>
      <w:pPr>
        <w:pStyle w:val="Title"/>
        <w:spacing w:after="80"/>
      </w:pPr>
      <w:r>
        <w:t>Cust-Post</w:t>
      </w:r>
    </w:p>
    <w:p>
      <w:pPr>
        <w:pStyle w:val="Subtitle"/>
        <w:spacing w:after="320"/>
      </w:pPr>
      <w:r>
        <w:t>A space-aware composting assistant for beginners</w:t>
      </w:r>
    </w:p>
    <w:p>
      <w:pPr>
        <w:spacing w:after="320"/>
      </w:pPr>
      <w:r>
        <w:rPr>
          <w:color w:val="D6A84F"/>
          <w:sz w:val="24"/>
        </w:rPr>
        <w:t>━━━━━━━━━━━━━━━━━━━━━━━━━━━━━━━━━━━━━━━━━━━━━━━━</w:t>
      </w:r>
    </w:p>
    <w:p>
      <w:pPr>
        <w:keepNext/>
        <w:spacing w:before="0" w:after="60"/>
        <w:ind w:left="259" w:right="259"/>
        <w:shd w:fill="EAF3ED"/>
        <w:ind w:left="180" w:right="180"/>
        <w:spacing w:before="80" w:after="80"/>
      </w:pPr>
      <w:r>
        <w:rPr>
          <w:rFonts w:ascii="Aptos" w:hAnsi="Aptos"/>
          <w:b/>
          <w:color w:val="2F6B52"/>
          <w:sz w:val="16"/>
        </w:rPr>
        <w:t>PRODUCT PROMISE</w:t>
      </w:r>
    </w:p>
    <w:p>
      <w:pPr>
        <w:keepNext w:val="0"/>
        <w:spacing w:before="0" w:after="0"/>
        <w:ind w:left="259" w:right="259"/>
        <w:shd w:fill="EAF3ED"/>
        <w:ind w:left="180" w:right="180"/>
        <w:spacing w:before="80" w:after="80"/>
      </w:pPr>
      <w:r>
        <w:rPr>
          <w:rFonts w:ascii="Aptos" w:hAnsi="Aptos"/>
          <w:b/>
          <w:color w:val="183B32"/>
          <w:sz w:val="26"/>
        </w:rPr>
        <w:t>Help people choose a suitable composting setup for the space and organic waste they actually have, avoid common mistakes, and track what happens in a real batch.</w:t>
      </w:r>
    </w:p>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376"/>
            <w:vAlign w:val="center"/>
            <w:tcMar>
              <w:top w:w="90" w:type="dxa"/>
              <w:start w:w="100" w:type="dxa"/>
              <w:bottom w:w="90" w:type="dxa"/>
              <w:end w:w="100" w:type="dxa"/>
            </w:tcMar>
            <w:shd w:fill="2F6B52"/>
          </w:tcPr>
          <w:p>
            <w:pPr>
              <w:spacing w:after="0" w:before="0" w:line="240" w:lineRule="auto"/>
            </w:pPr>
            <w:r/>
            <w:r>
              <w:rPr>
                <w:rFonts w:ascii="Aptos" w:hAnsi="Aptos"/>
                <w:b/>
                <w:color w:val="FFFFFF"/>
                <w:sz w:val="17"/>
              </w:rPr>
              <w:t>FIELD</w:t>
            </w:r>
          </w:p>
        </w:tc>
        <w:tc>
          <w:tcPr>
            <w:tcW w:type="dxa" w:w="7128"/>
            <w:vAlign w:val="center"/>
            <w:tcMar>
              <w:top w:w="90" w:type="dxa"/>
              <w:start w:w="100" w:type="dxa"/>
              <w:bottom w:w="90" w:type="dxa"/>
              <w:end w:w="100" w:type="dxa"/>
            </w:tcMar>
            <w:shd w:fill="2F6B52"/>
          </w:tcPr>
          <w:p>
            <w:pPr>
              <w:spacing w:after="0" w:before="0" w:line="240" w:lineRule="auto"/>
            </w:pPr>
            <w:r/>
            <w:r>
              <w:rPr>
                <w:rFonts w:ascii="Aptos" w:hAnsi="Aptos"/>
                <w:b/>
                <w:color w:val="FFFFFF"/>
                <w:sz w:val="17"/>
              </w:rPr>
              <w:t>DETAIL</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7"/>
              </w:rPr>
              <w:t>Document status</w:t>
            </w:r>
          </w:p>
        </w:tc>
        <w:tc>
          <w:tcPr>
            <w:tcW w:type="dxa" w:w="7128"/>
            <w:vAlign w:val="center"/>
            <w:tcMar>
              <w:top w:w="90" w:type="dxa"/>
              <w:start w:w="100" w:type="dxa"/>
              <w:bottom w:w="90" w:type="dxa"/>
              <w:end w:w="100" w:type="dxa"/>
            </w:tcMar>
          </w:tcPr>
          <w:p>
            <w:pPr>
              <w:spacing w:after="0" w:before="0" w:line="240" w:lineRule="auto"/>
            </w:pPr>
            <w:r/>
            <w:r>
              <w:rPr>
                <w:rFonts w:ascii="Aptos" w:hAnsi="Aptos"/>
                <w:b w:val="0"/>
                <w:color w:val="20302B"/>
                <w:sz w:val="17"/>
              </w:rPr>
              <w:t>Draft 0.1 - concept PRD; requires user discovery and expert review</w:t>
            </w:r>
          </w:p>
        </w:tc>
      </w:tr>
      <w:tr>
        <w:trPr>
          <w:cantSplit/>
        </w:trPr>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7"/>
              </w:rPr>
              <w:t>Prepared for</w:t>
            </w:r>
          </w:p>
        </w:tc>
        <w:tc>
          <w:tcPr>
            <w:tcW w:type="dxa" w:w="71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7"/>
              </w:rPr>
              <w:t>Nirman Lab student project</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7"/>
              </w:rPr>
              <w:t>Initial context</w:t>
            </w:r>
          </w:p>
        </w:tc>
        <w:tc>
          <w:tcPr>
            <w:tcW w:type="dxa" w:w="7128"/>
            <w:vAlign w:val="center"/>
            <w:tcMar>
              <w:top w:w="90" w:type="dxa"/>
              <w:start w:w="100" w:type="dxa"/>
              <w:bottom w:w="90" w:type="dxa"/>
              <w:end w:w="100" w:type="dxa"/>
            </w:tcMar>
          </w:tcPr>
          <w:p>
            <w:pPr>
              <w:spacing w:after="0" w:before="0" w:line="240" w:lineRule="auto"/>
            </w:pPr>
            <w:r/>
            <w:r>
              <w:rPr>
                <w:rFonts w:ascii="Aptos" w:hAnsi="Aptos"/>
                <w:b w:val="0"/>
                <w:color w:val="20302B"/>
                <w:sz w:val="17"/>
              </w:rPr>
              <w:t>Urban households / flats with balconies or limited gardening space; initial discovery in Mumbai / Navi Mumbai</w:t>
            </w:r>
          </w:p>
        </w:tc>
      </w:tr>
      <w:tr>
        <w:trPr>
          <w:cantSplit/>
        </w:trPr>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7"/>
              </w:rPr>
              <w:t>Recommended MVP</w:t>
            </w:r>
          </w:p>
        </w:tc>
        <w:tc>
          <w:tcPr>
            <w:tcW w:type="dxa" w:w="71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7"/>
              </w:rPr>
              <w:t>Space + container assessment, compost method planner, batch tracker, evidence-based troubleshooting</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7"/>
              </w:rPr>
              <w:t>Primary SDG alignment</w:t>
            </w:r>
          </w:p>
        </w:tc>
        <w:tc>
          <w:tcPr>
            <w:tcW w:type="dxa" w:w="7128"/>
            <w:vAlign w:val="center"/>
            <w:tcMar>
              <w:top w:w="90" w:type="dxa"/>
              <w:start w:w="100" w:type="dxa"/>
              <w:bottom w:w="90" w:type="dxa"/>
              <w:end w:w="100" w:type="dxa"/>
            </w:tcMar>
          </w:tcPr>
          <w:p>
            <w:pPr>
              <w:spacing w:after="0" w:before="0" w:line="240" w:lineRule="auto"/>
            </w:pPr>
            <w:r/>
            <w:r>
              <w:rPr>
                <w:rFonts w:ascii="Aptos" w:hAnsi="Aptos"/>
                <w:b w:val="0"/>
                <w:color w:val="20302B"/>
                <w:sz w:val="17"/>
              </w:rPr>
              <w:t>UN SDG 12: Responsible Consumption and Production; Target 12.5</w:t>
            </w:r>
          </w:p>
        </w:tc>
      </w:tr>
      <w:tr>
        <w:trPr>
          <w:cantSplit/>
        </w:trPr>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7"/>
              </w:rPr>
              <w:t>Last updated</w:t>
            </w:r>
          </w:p>
        </w:tc>
        <w:tc>
          <w:tcPr>
            <w:tcW w:type="dxa" w:w="71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7"/>
              </w:rPr>
              <w:t>18 October 2026</w:t>
            </w:r>
          </w:p>
        </w:tc>
      </w:tr>
    </w:tbl>
    <w:p>
      <w:pPr>
        <w:spacing w:after="0"/>
      </w:pPr>
    </w:p>
    <w:p>
      <w:pPr>
        <w:pStyle w:val="Small"/>
      </w:pPr>
      <w:r>
        <w:rPr>
          <w:i/>
        </w:rPr>
        <w:t>Important: This PRD describes a proposed product, not a validated solution. The problem, differentiation and recommendations must be tested before claims of impact or novelty are made.</w:t>
      </w:r>
    </w:p>
    <w:p>
      <w:r>
        <w:br w:type="page"/>
      </w:r>
    </w:p>
    <w:p>
      <w:pPr>
        <w:pStyle w:val="Heading1"/>
      </w:pPr>
      <w:r>
        <w:t>1. Executive summary</w:t>
      </w:r>
    </w:p>
    <w:p>
      <w:r>
        <w:rPr>
          <w:i w:val="0"/>
        </w:rPr>
        <w:t>Cust-Post is a proposed mobile-friendly web application that helps beginners plan and manage small-scale composting. It adapts recommendations to available floor space, container dimensions and condition, ventilation and drainage, location, composting method, and the type and approximate quantity of organic material available.</w:t>
      </w:r>
    </w:p>
    <w:p>
      <w:r>
        <w:rPr>
          <w:i w:val="0"/>
        </w:rPr>
        <w:t>The product should go beyond a static calculator: it should explain why a setup is suitable or unsuitable, guide the user through a reviewed process, collect observations from the real compost batch, and provide cautious troubleshooting. A limited plant guide closes the loop by explaining how suitable mature compost may be used with selected plants.</w:t>
      </w:r>
    </w:p>
    <w:p>
      <w:pPr>
        <w:pStyle w:val="Heading2"/>
      </w:pPr>
      <w:r>
        <w:t>The product decision</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DECISION</w:t>
            </w:r>
          </w:p>
        </w:tc>
        <w:tc>
          <w:tcPr>
            <w:tcW w:type="dxa" w:w="7272"/>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PRD POSITION</w:t>
            </w:r>
          </w:p>
        </w:tc>
      </w:tr>
      <w:tr>
        <w:trPr>
          <w:cantSplit/>
        </w:trPr>
        <w:tc>
          <w:tcPr>
            <w:tcW w:type="dxa" w:w="2232"/>
            <w:vAlign w:val="center"/>
            <w:tcMar>
              <w:top w:w="90" w:type="dxa"/>
              <w:start w:w="100" w:type="dxa"/>
              <w:bottom w:w="90" w:type="dxa"/>
              <w:end w:w="100" w:type="dxa"/>
            </w:tcMar>
          </w:tcPr>
          <w:p>
            <w:pPr>
              <w:spacing w:after="0" w:before="0" w:line="240" w:lineRule="auto"/>
            </w:pPr>
            <w:r/>
            <w:r>
              <w:rPr>
                <w:rFonts w:ascii="Aptos" w:hAnsi="Aptos"/>
                <w:b w:val="0"/>
                <w:color w:val="20302B"/>
                <w:sz w:val="16"/>
              </w:rPr>
              <w:t>Target user</w:t>
            </w:r>
          </w:p>
        </w:tc>
        <w:tc>
          <w:tcPr>
            <w:tcW w:type="dxa" w:w="7272"/>
            <w:vAlign w:val="center"/>
            <w:tcMar>
              <w:top w:w="90" w:type="dxa"/>
              <w:start w:w="100" w:type="dxa"/>
              <w:bottom w:w="90" w:type="dxa"/>
              <w:end w:w="100" w:type="dxa"/>
            </w:tcMar>
          </w:tcPr>
          <w:p>
            <w:pPr>
              <w:spacing w:after="0" w:before="0" w:line="240" w:lineRule="auto"/>
            </w:pPr>
            <w:r/>
            <w:r>
              <w:rPr>
                <w:rFonts w:ascii="Aptos" w:hAnsi="Aptos"/>
                <w:b w:val="0"/>
                <w:color w:val="20302B"/>
                <w:sz w:val="16"/>
              </w:rPr>
              <w:t>Beginner or early-stage home gardener who wants to compost but has limited space, uncertain equipment, or limited confidence.</w:t>
            </w:r>
          </w:p>
        </w:tc>
      </w:tr>
      <w:tr>
        <w:trPr>
          <w:cantSplit/>
        </w:trPr>
        <w:tc>
          <w:tcPr>
            <w:tcW w:type="dxa" w:w="22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Core problem hypothesis</w:t>
            </w:r>
          </w:p>
        </w:tc>
        <w:tc>
          <w:tcPr>
            <w:tcW w:type="dxa" w:w="727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Beginners struggle to select a workable setup and adapt their process when space, waste inputs and container conditions differ.</w:t>
            </w:r>
          </w:p>
        </w:tc>
      </w:tr>
      <w:tr>
        <w:trPr>
          <w:cantSplit/>
        </w:trPr>
        <w:tc>
          <w:tcPr>
            <w:tcW w:type="dxa" w:w="2232"/>
            <w:vAlign w:val="center"/>
            <w:tcMar>
              <w:top w:w="90" w:type="dxa"/>
              <w:start w:w="100" w:type="dxa"/>
              <w:bottom w:w="90" w:type="dxa"/>
              <w:end w:w="100" w:type="dxa"/>
            </w:tcMar>
          </w:tcPr>
          <w:p>
            <w:pPr>
              <w:spacing w:after="0" w:before="0" w:line="240" w:lineRule="auto"/>
            </w:pPr>
            <w:r/>
            <w:r>
              <w:rPr>
                <w:rFonts w:ascii="Aptos" w:hAnsi="Aptos"/>
                <w:b w:val="0"/>
                <w:color w:val="20302B"/>
                <w:sz w:val="16"/>
              </w:rPr>
              <w:t>Primary product value</w:t>
            </w:r>
          </w:p>
        </w:tc>
        <w:tc>
          <w:tcPr>
            <w:tcW w:type="dxa" w:w="7272"/>
            <w:vAlign w:val="center"/>
            <w:tcMar>
              <w:top w:w="90" w:type="dxa"/>
              <w:start w:w="100" w:type="dxa"/>
              <w:bottom w:w="90" w:type="dxa"/>
              <w:end w:w="100" w:type="dxa"/>
            </w:tcMar>
          </w:tcPr>
          <w:p>
            <w:pPr>
              <w:spacing w:after="0" w:before="0" w:line="240" w:lineRule="auto"/>
            </w:pPr>
            <w:r/>
            <w:r>
              <w:rPr>
                <w:rFonts w:ascii="Aptos" w:hAnsi="Aptos"/>
                <w:b w:val="0"/>
                <w:color w:val="20302B"/>
                <w:sz w:val="16"/>
              </w:rPr>
              <w:t>Constraint-aware recommendations + explainable guidance + real-batch tracking.</w:t>
            </w:r>
          </w:p>
        </w:tc>
      </w:tr>
      <w:tr>
        <w:trPr>
          <w:cantSplit/>
        </w:trPr>
        <w:tc>
          <w:tcPr>
            <w:tcW w:type="dxa" w:w="22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MVP delivery</w:t>
            </w:r>
          </w:p>
        </w:tc>
        <w:tc>
          <w:tcPr>
            <w:tcW w:type="dxa" w:w="727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Responsive website; transparent, versioned rules engine; no AI-generated safety verdicts.</w:t>
            </w:r>
          </w:p>
        </w:tc>
      </w:tr>
      <w:tr>
        <w:trPr>
          <w:cantSplit/>
        </w:trPr>
        <w:tc>
          <w:tcPr>
            <w:tcW w:type="dxa" w:w="2232"/>
            <w:vAlign w:val="center"/>
            <w:tcMar>
              <w:top w:w="90" w:type="dxa"/>
              <w:start w:w="100" w:type="dxa"/>
              <w:bottom w:w="90" w:type="dxa"/>
              <w:end w:w="100" w:type="dxa"/>
            </w:tcMar>
          </w:tcPr>
          <w:p>
            <w:pPr>
              <w:spacing w:after="0" w:before="0" w:line="240" w:lineRule="auto"/>
            </w:pPr>
            <w:r/>
            <w:r>
              <w:rPr>
                <w:rFonts w:ascii="Aptos" w:hAnsi="Aptos"/>
                <w:b w:val="0"/>
                <w:color w:val="20302B"/>
                <w:sz w:val="16"/>
              </w:rPr>
              <w:t>Primary environmental outcome</w:t>
            </w:r>
          </w:p>
        </w:tc>
        <w:tc>
          <w:tcPr>
            <w:tcW w:type="dxa" w:w="7272"/>
            <w:vAlign w:val="center"/>
            <w:tcMar>
              <w:top w:w="90" w:type="dxa"/>
              <w:start w:w="100" w:type="dxa"/>
              <w:bottom w:w="90" w:type="dxa"/>
              <w:end w:w="100" w:type="dxa"/>
            </w:tcMar>
          </w:tcPr>
          <w:p>
            <w:pPr>
              <w:spacing w:after="0" w:before="0" w:line="240" w:lineRule="auto"/>
            </w:pPr>
            <w:r/>
            <w:r>
              <w:rPr>
                <w:rFonts w:ascii="Aptos" w:hAnsi="Aptos"/>
                <w:b w:val="0"/>
                <w:color w:val="20302B"/>
                <w:sz w:val="16"/>
              </w:rPr>
              <w:t>Suitable organic waste is actually processed into compost, with inputs measured where feasible.</w:t>
            </w:r>
          </w:p>
        </w:tc>
      </w:tr>
      <w:tr>
        <w:trPr>
          <w:cantSplit/>
        </w:trPr>
        <w:tc>
          <w:tcPr>
            <w:tcW w:type="dxa" w:w="22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Key uncertainty</w:t>
            </w:r>
          </w:p>
        </w:tc>
        <w:tc>
          <w:tcPr>
            <w:tcW w:type="dxa" w:w="727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It is not yet proven that the target users experience this problem often enough or that existing tools fail them in a meaningful way.</w:t>
            </w:r>
          </w:p>
        </w:tc>
      </w:tr>
    </w:tbl>
    <w:p>
      <w:pPr>
        <w:spacing w:after="0"/>
      </w:pPr>
    </w:p>
    <w:p>
      <w:pPr>
        <w:pStyle w:val="Heading2"/>
      </w:pPr>
      <w:r>
        <w:t>Why narrow the first release?</w:t>
      </w:r>
    </w:p>
    <w:p>
      <w:r>
        <w:rPr>
          <w:i w:val="0"/>
        </w:rPr>
        <w:t>Compost calculators and trackers already exist. A public listing for Heap: Compost Tracker &amp; Guide describes material balancing, batch tracking, a material library and troubleshooting [4]. Therefore, those features alone are not a defensible innovation. Cust-Post should test whether space-aware setup screening, local context and beginner-friendly feedback deliver measurable additional value.</w:t>
      </w:r>
    </w:p>
    <w:p>
      <w:r>
        <w:br w:type="page"/>
      </w:r>
    </w:p>
    <w:p>
      <w:pPr>
        <w:pStyle w:val="Heading1"/>
      </w:pPr>
      <w:r>
        <w:t>2. Problem, users and product strategy</w:t>
      </w:r>
    </w:p>
    <w:p>
      <w:pPr>
        <w:pStyle w:val="Heading2"/>
      </w:pPr>
      <w:r>
        <w:t>2.1 Problem statement (hypothesis to validate)</w:t>
      </w:r>
    </w:p>
    <w:p>
      <w:r>
        <w:rPr>
          <w:i w:val="0"/>
        </w:rPr>
        <w:t>People who want to compost at home may not know whether their available vessel and space suit a particular method, what mix of materials to start with, how to prevent moisture / airflow problems, or how to decide whether a batch is progressing. Generic articles can require users to translate general advice into their own container and waste situation.</w:t>
      </w:r>
    </w:p>
    <w:p>
      <w:r>
        <w:rPr>
          <w:i w:val="0"/>
        </w:rPr>
        <w:t>This is a hypothesis, not a proven market fact. Week 1 discovery must determine which of these problems users actually encounter, how often it occurs, what they currently do, and whether Cust-Post can improve the outcome.</w:t>
      </w:r>
    </w:p>
    <w:p>
      <w:pPr>
        <w:pStyle w:val="Heading2"/>
      </w:pPr>
      <w:r>
        <w:t>2.2 Initial target audience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88"/>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PERSONA</w:t>
            </w:r>
          </w:p>
        </w:tc>
        <w:tc>
          <w:tcPr>
            <w:tcW w:type="dxa" w:w="4608"/>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NEED / JOB TO BE DONE</w:t>
            </w:r>
          </w:p>
        </w:tc>
        <w:tc>
          <w:tcPr>
            <w:tcW w:type="dxa" w:w="2808"/>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NOT THE INITIAL TARGET</w:t>
            </w:r>
          </w:p>
        </w:tc>
      </w:tr>
      <w:tr>
        <w:trPr>
          <w:cantSplit/>
        </w:trPr>
        <w:tc>
          <w:tcPr>
            <w:tcW w:type="dxa" w:w="2088"/>
            <w:vAlign w:val="center"/>
            <w:tcMar>
              <w:top w:w="90" w:type="dxa"/>
              <w:start w:w="100" w:type="dxa"/>
              <w:bottom w:w="90" w:type="dxa"/>
              <w:end w:w="100" w:type="dxa"/>
            </w:tcMar>
          </w:tcPr>
          <w:p>
            <w:pPr>
              <w:spacing w:after="0" w:before="0" w:line="240" w:lineRule="auto"/>
            </w:pPr>
            <w:r/>
            <w:r>
              <w:rPr>
                <w:rFonts w:ascii="Aptos" w:hAnsi="Aptos"/>
                <w:b w:val="0"/>
                <w:color w:val="20302B"/>
                <w:sz w:val="16"/>
              </w:rPr>
              <w:t>Small-space beginner</w:t>
            </w:r>
          </w:p>
        </w:tc>
        <w:tc>
          <w:tcPr>
            <w:tcW w:type="dxa" w:w="4608"/>
            <w:vAlign w:val="center"/>
            <w:tcMar>
              <w:top w:w="90" w:type="dxa"/>
              <w:start w:w="100" w:type="dxa"/>
              <w:bottom w:w="90" w:type="dxa"/>
              <w:end w:w="100" w:type="dxa"/>
            </w:tcMar>
          </w:tcPr>
          <w:p>
            <w:pPr>
              <w:spacing w:after="0" w:before="0" w:line="240" w:lineRule="auto"/>
            </w:pPr>
            <w:r/>
            <w:r>
              <w:rPr>
                <w:rFonts w:ascii="Aptos" w:hAnsi="Aptos"/>
                <w:b w:val="0"/>
                <w:color w:val="20302B"/>
                <w:sz w:val="16"/>
              </w:rPr>
              <w:t>“Help me choose a composting method that fits my balcony / indoor constraints and the scraps I have.”</w:t>
            </w:r>
          </w:p>
        </w:tc>
        <w:tc>
          <w:tcPr>
            <w:tcW w:type="dxa" w:w="2808"/>
            <w:vAlign w:val="center"/>
            <w:tcMar>
              <w:top w:w="90" w:type="dxa"/>
              <w:start w:w="100" w:type="dxa"/>
              <w:bottom w:w="90" w:type="dxa"/>
              <w:end w:w="100" w:type="dxa"/>
            </w:tcMar>
          </w:tcPr>
          <w:p>
            <w:pPr>
              <w:spacing w:after="0" w:before="0" w:line="240" w:lineRule="auto"/>
            </w:pPr>
            <w:r/>
            <w:r>
              <w:rPr>
                <w:rFonts w:ascii="Aptos" w:hAnsi="Aptos"/>
                <w:b w:val="0"/>
                <w:color w:val="20302B"/>
                <w:sz w:val="16"/>
              </w:rPr>
              <w:t>Experienced large-scale compost operators.</w:t>
            </w:r>
          </w:p>
        </w:tc>
      </w:tr>
      <w:tr>
        <w:trPr>
          <w:cantSplit/>
        </w:trPr>
        <w:tc>
          <w:tcPr>
            <w:tcW w:type="dxa" w:w="208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Interested home gardener</w:t>
            </w:r>
          </w:p>
        </w:tc>
        <w:tc>
          <w:tcPr>
            <w:tcW w:type="dxa" w:w="460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“Tell me how to start, what to monitor, and what to do when the batch smells or stays too wet.”</w:t>
            </w:r>
          </w:p>
        </w:tc>
        <w:tc>
          <w:tcPr>
            <w:tcW w:type="dxa" w:w="280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Commercial waste processors needing industrial controls.</w:t>
            </w:r>
          </w:p>
        </w:tc>
      </w:tr>
      <w:tr>
        <w:trPr>
          <w:cantSplit/>
        </w:trPr>
        <w:tc>
          <w:tcPr>
            <w:tcW w:type="dxa" w:w="2088"/>
            <w:vAlign w:val="center"/>
            <w:tcMar>
              <w:top w:w="90" w:type="dxa"/>
              <w:start w:w="100" w:type="dxa"/>
              <w:bottom w:w="90" w:type="dxa"/>
              <w:end w:w="100" w:type="dxa"/>
            </w:tcMar>
          </w:tcPr>
          <w:p>
            <w:pPr>
              <w:spacing w:after="0" w:before="0" w:line="240" w:lineRule="auto"/>
            </w:pPr>
            <w:r/>
            <w:r>
              <w:rPr>
                <w:rFonts w:ascii="Aptos" w:hAnsi="Aptos"/>
                <w:b w:val="0"/>
                <w:color w:val="20302B"/>
                <w:sz w:val="16"/>
              </w:rPr>
              <w:t>Pilot reviewer / advisor</w:t>
            </w:r>
          </w:p>
        </w:tc>
        <w:tc>
          <w:tcPr>
            <w:tcW w:type="dxa" w:w="4608"/>
            <w:vAlign w:val="center"/>
            <w:tcMar>
              <w:top w:w="90" w:type="dxa"/>
              <w:start w:w="100" w:type="dxa"/>
              <w:bottom w:w="90" w:type="dxa"/>
              <w:end w:w="100" w:type="dxa"/>
            </w:tcMar>
          </w:tcPr>
          <w:p>
            <w:pPr>
              <w:spacing w:after="0" w:before="0" w:line="240" w:lineRule="auto"/>
            </w:pPr>
            <w:r/>
            <w:r>
              <w:rPr>
                <w:rFonts w:ascii="Aptos" w:hAnsi="Aptos"/>
                <w:b w:val="0"/>
                <w:color w:val="20302B"/>
                <w:sz w:val="16"/>
              </w:rPr>
              <w:t>“Let me inspect the source and logic behind a recommendation and flag unsafe or unsupported advice.”</w:t>
            </w:r>
          </w:p>
        </w:tc>
        <w:tc>
          <w:tcPr>
            <w:tcW w:type="dxa" w:w="2808"/>
            <w:vAlign w:val="center"/>
            <w:tcMar>
              <w:top w:w="90" w:type="dxa"/>
              <w:start w:w="100" w:type="dxa"/>
              <w:bottom w:w="90" w:type="dxa"/>
              <w:end w:w="100" w:type="dxa"/>
            </w:tcMar>
          </w:tcPr>
          <w:p>
            <w:pPr>
              <w:spacing w:after="0" w:before="0" w:line="240" w:lineRule="auto"/>
            </w:pPr>
            <w:r/>
            <w:r>
              <w:rPr>
                <w:rFonts w:ascii="Aptos" w:hAnsi="Aptos"/>
                <w:b w:val="0"/>
                <w:color w:val="20302B"/>
                <w:sz w:val="16"/>
              </w:rPr>
              <w:t>A replacement for a certified waste consultant or laboratory.</w:t>
            </w:r>
          </w:p>
        </w:tc>
      </w:tr>
    </w:tbl>
    <w:p>
      <w:pPr>
        <w:spacing w:after="0"/>
      </w:pPr>
    </w:p>
    <w:p>
      <w:pPr>
        <w:pStyle w:val="Heading2"/>
      </w:pPr>
      <w:r>
        <w:t>2.3 Discovery questions</w:t>
      </w:r>
    </w:p>
    <w:p>
      <w:pPr>
        <w:pStyle w:val="ListBullet"/>
        <w:spacing w:after="40"/>
        <w:ind w:left="346" w:hanging="216"/>
      </w:pPr>
      <w:r>
        <w:t>What composting method have you tried, if any, and what happened the last time?</w:t>
      </w:r>
    </w:p>
    <w:p>
      <w:pPr>
        <w:pStyle w:val="ListBullet"/>
        <w:spacing w:after="40"/>
        <w:ind w:left="346" w:hanging="216"/>
      </w:pPr>
      <w:r>
        <w:t>What is the most difficult part: finding space, choosing a container, balancing materials, controlling odour / pests, or judging readiness?</w:t>
      </w:r>
    </w:p>
    <w:p>
      <w:pPr>
        <w:pStyle w:val="ListBullet"/>
        <w:spacing w:after="40"/>
        <w:ind w:left="346" w:hanging="216"/>
      </w:pPr>
      <w:r>
        <w:t>What material and approximate weekly quantity do you have available?</w:t>
      </w:r>
    </w:p>
    <w:p>
      <w:pPr>
        <w:pStyle w:val="ListBullet"/>
        <w:spacing w:after="40"/>
        <w:ind w:left="346" w:hanging="216"/>
      </w:pPr>
      <w:r>
        <w:t>What advice or product did you use previously? What failed or remained unclear?</w:t>
      </w:r>
    </w:p>
    <w:p>
      <w:pPr>
        <w:pStyle w:val="ListBullet"/>
        <w:spacing w:after="40"/>
        <w:ind w:left="346" w:hanging="216"/>
      </w:pPr>
      <w:r>
        <w:t>Would you log observations over several weeks, or is that too much effort?</w:t>
      </w:r>
    </w:p>
    <w:p>
      <w:pPr>
        <w:pStyle w:val="ListBullet"/>
        <w:spacing w:after="40"/>
        <w:ind w:left="346" w:hanging="216"/>
      </w:pPr>
      <w:r>
        <w:t>What would make you trust or ignore a recommendation?</w:t>
      </w:r>
    </w:p>
    <w:p>
      <w:pPr>
        <w:pStyle w:val="Heading2"/>
      </w:pPr>
      <w:r>
        <w:t>2.4 Positioning and differentiation hypothesis</w:t>
      </w:r>
    </w:p>
    <w:p>
      <w:r>
        <w:rPr>
          <w:i w:val="0"/>
        </w:rPr>
        <w:t>Proposed positioning: “A composting setup assistant that adapts to a person’s actual space, vessel, waste inputs and observed batch—not just a generic calculator.” This is a hypothesis to test. Localized language, material availability and balcony-specific constraints may matter, but should not be claimed as unique until competitor research and user testing establish a meaningful gap.</w:t>
      </w:r>
    </w:p>
    <w:p>
      <w:pPr>
        <w:pStyle w:val="Heading2"/>
      </w:pPr>
      <w:r>
        <w:t>2.5 UN Sustainable Development Goal alignment</w:t>
      </w:r>
    </w:p>
    <w:p>
      <w:r>
        <w:rPr>
          <w:i w:val="0"/>
        </w:rPr>
        <w:t>Primary alignment: SDG 12, especially Target 12.5 (reduce waste through prevention, reduction, recycling and reuse). Target 12.8 may be a secondary link because the product provides practical sustainability information [3]. SDG alignment is a rationale, not proof of impact. Track actual input material and outcomes; do not equate registrations or recommendations with waste diverted.</w:t>
      </w:r>
    </w:p>
    <w:p>
      <w:r>
        <w:br w:type="page"/>
      </w:r>
    </w:p>
    <w:p>
      <w:pPr>
        <w:pStyle w:val="Heading1"/>
      </w:pPr>
      <w:r>
        <w:t>3. Scope, user journey and boundaries</w:t>
      </w:r>
    </w:p>
    <w:p>
      <w:pPr>
        <w:pStyle w:val="Heading2"/>
      </w:pPr>
      <w:r>
        <w:t>3.1 MVP scope</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4752"/>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IN SCOPE FOR MVP</w:t>
            </w:r>
          </w:p>
        </w:tc>
        <w:tc>
          <w:tcPr>
            <w:tcW w:type="dxa" w:w="4752"/>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OUT OF SCOPE FOR MVP</w:t>
            </w:r>
          </w:p>
        </w:tc>
      </w:tr>
      <w:tr>
        <w:trPr>
          <w:cantSplit/>
        </w:trPr>
        <w:tc>
          <w:tcPr>
            <w:tcW w:type="dxa" w:w="4752"/>
            <w:vAlign w:val="center"/>
            <w:tcMar>
              <w:top w:w="90" w:type="dxa"/>
              <w:start w:w="100" w:type="dxa"/>
              <w:bottom w:w="90" w:type="dxa"/>
              <w:end w:w="100" w:type="dxa"/>
            </w:tcMar>
          </w:tcPr>
          <w:p>
            <w:pPr>
              <w:spacing w:after="0" w:before="0" w:line="240" w:lineRule="auto"/>
            </w:pPr>
            <w:r/>
            <w:r>
              <w:rPr>
                <w:rFonts w:ascii="Aptos" w:hAnsi="Aptos"/>
                <w:b w:val="0"/>
                <w:color w:val="20302B"/>
                <w:sz w:val="16"/>
              </w:rPr>
              <w:t>Space profile: location, available footprint / height and context.</w:t>
            </w:r>
          </w:p>
        </w:tc>
        <w:tc>
          <w:tcPr>
            <w:tcW w:type="dxa" w:w="4752"/>
            <w:vAlign w:val="center"/>
            <w:tcMar>
              <w:top w:w="90" w:type="dxa"/>
              <w:start w:w="100" w:type="dxa"/>
              <w:bottom w:w="90" w:type="dxa"/>
              <w:end w:w="100" w:type="dxa"/>
            </w:tcMar>
          </w:tcPr>
          <w:p>
            <w:pPr>
              <w:spacing w:after="0" w:before="0" w:line="240" w:lineRule="auto"/>
            </w:pPr>
            <w:r/>
            <w:r>
              <w:rPr>
                <w:rFonts w:ascii="Aptos" w:hAnsi="Aptos"/>
                <w:b w:val="0"/>
                <w:color w:val="20302B"/>
                <w:sz w:val="16"/>
              </w:rPr>
              <w:t>Full seed marketplace, payment, inventory, shipping and returns.</w:t>
            </w:r>
          </w:p>
        </w:tc>
      </w:tr>
      <w:tr>
        <w:trPr>
          <w:cantSplit/>
        </w:trPr>
        <w:tc>
          <w:tcPr>
            <w:tcW w:type="dxa" w:w="475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ContainerCheck: material, prior use, condition, ventilation, drainage and unknowns.</w:t>
            </w:r>
          </w:p>
        </w:tc>
        <w:tc>
          <w:tcPr>
            <w:tcW w:type="dxa" w:w="475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Claiming a container is certified safe from a short questionnaire alone.</w:t>
            </w:r>
          </w:p>
        </w:tc>
      </w:tr>
      <w:tr>
        <w:trPr>
          <w:cantSplit/>
        </w:trPr>
        <w:tc>
          <w:tcPr>
            <w:tcW w:type="dxa" w:w="4752"/>
            <w:vAlign w:val="center"/>
            <w:tcMar>
              <w:top w:w="90" w:type="dxa"/>
              <w:start w:w="100" w:type="dxa"/>
              <w:bottom w:w="90" w:type="dxa"/>
              <w:end w:w="100" w:type="dxa"/>
            </w:tcMar>
          </w:tcPr>
          <w:p>
            <w:pPr>
              <w:spacing w:after="0" w:before="0" w:line="240" w:lineRule="auto"/>
            </w:pPr>
            <w:r/>
            <w:r>
              <w:rPr>
                <w:rFonts w:ascii="Aptos" w:hAnsi="Aptos"/>
                <w:b w:val="0"/>
                <w:color w:val="20302B"/>
                <w:sz w:val="16"/>
              </w:rPr>
              <w:t>Compost planner for a small, reviewed set of methods and inputs.</w:t>
            </w:r>
          </w:p>
        </w:tc>
        <w:tc>
          <w:tcPr>
            <w:tcW w:type="dxa" w:w="4752"/>
            <w:vAlign w:val="center"/>
            <w:tcMar>
              <w:top w:w="90" w:type="dxa"/>
              <w:start w:w="100" w:type="dxa"/>
              <w:bottom w:w="90" w:type="dxa"/>
              <w:end w:w="100" w:type="dxa"/>
            </w:tcMar>
          </w:tcPr>
          <w:p>
            <w:pPr>
              <w:spacing w:after="0" w:before="0" w:line="240" w:lineRule="auto"/>
            </w:pPr>
            <w:r/>
            <w:r>
              <w:rPr>
                <w:rFonts w:ascii="Aptos" w:hAnsi="Aptos"/>
                <w:b w:val="0"/>
                <w:color w:val="20302B"/>
                <w:sz w:val="16"/>
              </w:rPr>
              <w:t>Precise universal carbon:nitrogen calculations without reliable material data.</w:t>
            </w:r>
          </w:p>
        </w:tc>
      </w:tr>
      <w:tr>
        <w:trPr>
          <w:cantSplit/>
        </w:trPr>
        <w:tc>
          <w:tcPr>
            <w:tcW w:type="dxa" w:w="475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One active batch with dated logs and troubleshooting rules.</w:t>
            </w:r>
          </w:p>
        </w:tc>
        <w:tc>
          <w:tcPr>
            <w:tcW w:type="dxa" w:w="475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A guaranteed completion date derived from container dimensions.</w:t>
            </w:r>
          </w:p>
        </w:tc>
      </w:tr>
      <w:tr>
        <w:trPr>
          <w:cantSplit/>
        </w:trPr>
        <w:tc>
          <w:tcPr>
            <w:tcW w:type="dxa" w:w="4752"/>
            <w:vAlign w:val="center"/>
            <w:tcMar>
              <w:top w:w="90" w:type="dxa"/>
              <w:start w:w="100" w:type="dxa"/>
              <w:bottom w:w="90" w:type="dxa"/>
              <w:end w:w="100" w:type="dxa"/>
            </w:tcMar>
          </w:tcPr>
          <w:p>
            <w:pPr>
              <w:spacing w:after="0" w:before="0" w:line="240" w:lineRule="auto"/>
            </w:pPr>
            <w:r/>
            <w:r>
              <w:rPr>
                <w:rFonts w:ascii="Aptos" w:hAnsi="Aptos"/>
                <w:b w:val="0"/>
                <w:color w:val="20302B"/>
                <w:sz w:val="16"/>
              </w:rPr>
              <w:t>A limited guide for up to three expert-reviewed plants.</w:t>
            </w:r>
          </w:p>
        </w:tc>
        <w:tc>
          <w:tcPr>
            <w:tcW w:type="dxa" w:w="4752"/>
            <w:vAlign w:val="center"/>
            <w:tcMar>
              <w:top w:w="90" w:type="dxa"/>
              <w:start w:w="100" w:type="dxa"/>
              <w:bottom w:w="90" w:type="dxa"/>
              <w:end w:w="100" w:type="dxa"/>
            </w:tcMar>
          </w:tcPr>
          <w:p>
            <w:pPr>
              <w:spacing w:after="0" w:before="0" w:line="240" w:lineRule="auto"/>
            </w:pPr>
            <w:r/>
            <w:r>
              <w:rPr>
                <w:rFonts w:ascii="Aptos" w:hAnsi="Aptos"/>
                <w:b w:val="0"/>
                <w:color w:val="20302B"/>
                <w:sz w:val="16"/>
              </w:rPr>
              <w:t>A large encyclopaedia of all plants and all possible care conditions.</w:t>
            </w:r>
          </w:p>
        </w:tc>
      </w:tr>
      <w:tr>
        <w:trPr>
          <w:cantSplit/>
        </w:trPr>
        <w:tc>
          <w:tcPr>
            <w:tcW w:type="dxa" w:w="475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Source references, rationale, warning states and feedback collection.</w:t>
            </w:r>
          </w:p>
        </w:tc>
        <w:tc>
          <w:tcPr>
            <w:tcW w:type="dxa" w:w="475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Image-based AI diagnosis, IoT sensors, chatbot-first architecture, commercial fleet dashboard.</w:t>
            </w:r>
          </w:p>
        </w:tc>
      </w:tr>
    </w:tbl>
    <w:p>
      <w:pPr>
        <w:spacing w:after="0"/>
      </w:pPr>
    </w:p>
    <w:p>
      <w:pPr>
        <w:pStyle w:val="Heading2"/>
      </w:pPr>
      <w:r>
        <w:t>3.2 Main user journey</w:t>
      </w:r>
    </w:p>
    <w:p>
      <w:pPr>
        <w:pStyle w:val="ListNumber"/>
        <w:spacing w:after="40"/>
      </w:pPr>
      <w:r>
        <w:t>Start a new setup and select where composting will happen (indoor, balcony, terrace or garden).</w:t>
      </w:r>
    </w:p>
    <w:p>
      <w:pPr>
        <w:pStyle w:val="ListNumber"/>
        <w:spacing w:after="40"/>
      </w:pPr>
      <w:r>
        <w:t>Enter available space separately from the dimensions of an existing or planned container.</w:t>
      </w:r>
    </w:p>
    <w:p>
      <w:pPr>
        <w:pStyle w:val="ListNumber"/>
        <w:spacing w:after="40"/>
      </w:pPr>
      <w:r>
        <w:t>Describe the container: material, previous use, condition, lid, ventilation and drainage. Unknown answers must remain unknown—not default to safe.</w:t>
      </w:r>
    </w:p>
    <w:p>
      <w:pPr>
        <w:pStyle w:val="ListNumber"/>
        <w:spacing w:after="40"/>
      </w:pPr>
      <w:r>
        <w:t>Enter the available organic materials and approximate quantities; identify materials the selected method should not accept.</w:t>
      </w:r>
    </w:p>
    <w:p>
      <w:pPr>
        <w:pStyle w:val="ListNumber"/>
        <w:spacing w:after="40"/>
      </w:pPr>
      <w:r>
        <w:t>Review a recommended method and starting plan with reasons, source notes, required setup changes and unresolved checks.</w:t>
      </w:r>
    </w:p>
    <w:p>
      <w:pPr>
        <w:pStyle w:val="ListNumber"/>
        <w:spacing w:after="40"/>
      </w:pPr>
      <w:r>
        <w:t>Create a batch log and record observations such as moisture, odour, temperature (if measured), turning / mixing, pests and adjustments.</w:t>
      </w:r>
    </w:p>
    <w:p>
      <w:pPr>
        <w:pStyle w:val="ListNumber"/>
        <w:spacing w:after="40"/>
      </w:pPr>
      <w:r>
        <w:t>Use troubleshooting suggestions when problems occur. Compare expected progress with observed evidence and complete maturity checks before using compost.</w:t>
      </w:r>
    </w:p>
    <w:p>
      <w:pPr>
        <w:pStyle w:val="ListNumber"/>
        <w:spacing w:after="40"/>
      </w:pPr>
      <w:r>
        <w:t>Optionally open a plant guide showing growing needs and careful guidance on using mature compost appropriately.</w:t>
      </w:r>
    </w:p>
    <w:p>
      <w:pPr>
        <w:pStyle w:val="Heading2"/>
      </w:pPr>
      <w:r>
        <w:t>3.3 Product principle: recommend, explain, qualify</w:t>
      </w:r>
    </w:p>
    <w:p>
      <w:r>
        <w:rPr>
          <w:i w:val="0"/>
        </w:rPr>
        <w:t>Every recommendation should state (1) the result, (2) the reason, (3) the assumptions and missing data, (4) any required action, and (5) the source or reviewer behind the rule. If safety or suitability cannot be determined, show “More information needed” rather than forcing a binary safe / unsafe result.</w:t>
      </w:r>
    </w:p>
    <w:p>
      <w:r>
        <w:br w:type="page"/>
      </w:r>
    </w:p>
    <w:p>
      <w:pPr>
        <w:pStyle w:val="Heading1"/>
      </w:pPr>
      <w:r>
        <w:t>4. Functional requirements</w:t>
      </w:r>
    </w:p>
    <w:p>
      <w:r>
        <w:rPr>
          <w:i w:val="0"/>
        </w:rPr>
        <w:t>Priority key: P0 = required for the pilot; P1 = valuable if time allows; P2 = defer. Acceptance criteria are testable requirements, not current achievements.</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691"/>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ID</w:t>
            </w:r>
          </w:p>
        </w:tc>
        <w:tc>
          <w:tcPr>
            <w:tcW w:type="dxa" w:w="1512"/>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REQUIREMENT</w:t>
            </w:r>
          </w:p>
        </w:tc>
        <w:tc>
          <w:tcPr>
            <w:tcW w:type="dxa" w:w="749"/>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PRIORITY</w:t>
            </w:r>
          </w:p>
        </w:tc>
        <w:tc>
          <w:tcPr>
            <w:tcW w:type="dxa" w:w="3240"/>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BEHAVIOUR</w:t>
            </w:r>
          </w:p>
        </w:tc>
        <w:tc>
          <w:tcPr>
            <w:tcW w:type="dxa" w:w="3312"/>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ACCEPTANCE CRITERIA</w:t>
            </w:r>
          </w:p>
        </w:tc>
      </w:tr>
      <w:tr>
        <w:trPr>
          <w:cantSplit/>
        </w:trPr>
        <w:tc>
          <w:tcPr>
            <w:tcW w:type="dxa" w:w="691"/>
            <w:vAlign w:val="center"/>
            <w:tcMar>
              <w:top w:w="90" w:type="dxa"/>
              <w:start w:w="100" w:type="dxa"/>
              <w:bottom w:w="90" w:type="dxa"/>
              <w:end w:w="100" w:type="dxa"/>
            </w:tcMar>
          </w:tcPr>
          <w:p>
            <w:pPr>
              <w:spacing w:after="0" w:before="0" w:line="240" w:lineRule="auto"/>
            </w:pPr>
            <w:r/>
            <w:r>
              <w:rPr>
                <w:rFonts w:ascii="Aptos" w:hAnsi="Aptos"/>
                <w:b w:val="0"/>
                <w:color w:val="20302B"/>
                <w:sz w:val="14"/>
              </w:rPr>
              <w:t>FR-01</w:t>
            </w:r>
          </w:p>
        </w:tc>
        <w:tc>
          <w:tcPr>
            <w:tcW w:type="dxa" w:w="1512"/>
            <w:vAlign w:val="center"/>
            <w:tcMar>
              <w:top w:w="90" w:type="dxa"/>
              <w:start w:w="100" w:type="dxa"/>
              <w:bottom w:w="90" w:type="dxa"/>
              <w:end w:w="100" w:type="dxa"/>
            </w:tcMar>
          </w:tcPr>
          <w:p>
            <w:pPr>
              <w:spacing w:after="0" w:before="0" w:line="240" w:lineRule="auto"/>
            </w:pPr>
            <w:r/>
            <w:r>
              <w:rPr>
                <w:rFonts w:ascii="Aptos" w:hAnsi="Aptos"/>
                <w:b w:val="0"/>
                <w:color w:val="20302B"/>
                <w:sz w:val="14"/>
              </w:rPr>
              <w:t>Space profile</w:t>
            </w:r>
          </w:p>
        </w:tc>
        <w:tc>
          <w:tcPr>
            <w:tcW w:type="dxa" w:w="749"/>
            <w:vAlign w:val="center"/>
            <w:tcMar>
              <w:top w:w="90" w:type="dxa"/>
              <w:start w:w="100" w:type="dxa"/>
              <w:bottom w:w="90" w:type="dxa"/>
              <w:end w:w="100" w:type="dxa"/>
            </w:tcMar>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4"/>
              </w:rPr>
              <w:t>Capture location type and available length, width and maximum height; keep available space distinct from container dimensions. Validate units and positive numeric values.</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4"/>
              </w:rPr>
              <w:t>Invalid, zero or negative dimensions are rejected with a clear message; valid dimensions are saved.</w:t>
            </w:r>
          </w:p>
        </w:tc>
      </w:tr>
      <w:tr>
        <w:trPr>
          <w:cantSplit/>
        </w:trPr>
        <w:tc>
          <w:tcPr>
            <w:tcW w:type="dxa" w:w="691"/>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FR-02</w:t>
            </w:r>
          </w:p>
        </w:tc>
        <w:tc>
          <w:tcPr>
            <w:tcW w:type="dxa" w:w="15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Volume calculation</w:t>
            </w:r>
          </w:p>
        </w:tc>
        <w:tc>
          <w:tcPr>
            <w:tcW w:type="dxa" w:w="749"/>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Calculate geometric volume for supported regular shapes. For a rectangular box with internal dimensions in cm: L × W × H ÷ 1,000 = litres. Label result as geometric volume only.</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The displayed calculation matches test cases; irregular shapes are marked approximate / unsupported. No compost-capacity or readiness claim is inferred from volume alone.</w:t>
            </w:r>
          </w:p>
        </w:tc>
      </w:tr>
      <w:tr>
        <w:trPr>
          <w:cantSplit/>
        </w:trPr>
        <w:tc>
          <w:tcPr>
            <w:tcW w:type="dxa" w:w="691"/>
            <w:vAlign w:val="center"/>
            <w:tcMar>
              <w:top w:w="90" w:type="dxa"/>
              <w:start w:w="100" w:type="dxa"/>
              <w:bottom w:w="90" w:type="dxa"/>
              <w:end w:w="100" w:type="dxa"/>
            </w:tcMar>
          </w:tcPr>
          <w:p>
            <w:pPr>
              <w:spacing w:after="0" w:before="0" w:line="240" w:lineRule="auto"/>
            </w:pPr>
            <w:r/>
            <w:r>
              <w:rPr>
                <w:rFonts w:ascii="Aptos" w:hAnsi="Aptos"/>
                <w:b w:val="0"/>
                <w:color w:val="20302B"/>
                <w:sz w:val="14"/>
              </w:rPr>
              <w:t>FR-03</w:t>
            </w:r>
          </w:p>
        </w:tc>
        <w:tc>
          <w:tcPr>
            <w:tcW w:type="dxa" w:w="1512"/>
            <w:vAlign w:val="center"/>
            <w:tcMar>
              <w:top w:w="90" w:type="dxa"/>
              <w:start w:w="100" w:type="dxa"/>
              <w:bottom w:w="90" w:type="dxa"/>
              <w:end w:w="100" w:type="dxa"/>
            </w:tcMar>
          </w:tcPr>
          <w:p>
            <w:pPr>
              <w:spacing w:after="0" w:before="0" w:line="240" w:lineRule="auto"/>
            </w:pPr>
            <w:r/>
            <w:r>
              <w:rPr>
                <w:rFonts w:ascii="Aptos" w:hAnsi="Aptos"/>
                <w:b w:val="0"/>
                <w:color w:val="20302B"/>
                <w:sz w:val="14"/>
              </w:rPr>
              <w:t>ContainerCheck</w:t>
            </w:r>
          </w:p>
        </w:tc>
        <w:tc>
          <w:tcPr>
            <w:tcW w:type="dxa" w:w="749"/>
            <w:vAlign w:val="center"/>
            <w:tcMar>
              <w:top w:w="90" w:type="dxa"/>
              <w:start w:w="100" w:type="dxa"/>
              <w:bottom w:w="90" w:type="dxa"/>
              <w:end w:w="100" w:type="dxa"/>
            </w:tcMar>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4"/>
              </w:rPr>
              <w:t>Ask material / known identifier if available, previous use, condition, coatings if known, ventilation, drainage, lid and indoor/outdoor placement.</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4"/>
              </w:rPr>
              <w:t>Return one of: suitable for reviewed method, suitable with modifications, unsuitable for stated use, or more information required. Every result has an explanation.</w:t>
            </w:r>
          </w:p>
        </w:tc>
      </w:tr>
      <w:tr>
        <w:trPr>
          <w:cantSplit/>
        </w:trPr>
        <w:tc>
          <w:tcPr>
            <w:tcW w:type="dxa" w:w="691"/>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FR-04</w:t>
            </w:r>
          </w:p>
        </w:tc>
        <w:tc>
          <w:tcPr>
            <w:tcW w:type="dxa" w:w="15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Waste-input inventory</w:t>
            </w:r>
          </w:p>
        </w:tc>
        <w:tc>
          <w:tcPr>
            <w:tcW w:type="dxa" w:w="749"/>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Allow users to select supported material categories and enter approximate quantities and units. Flag unsupported / unsuitable inputs for the chosen method.</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The plan shows the selected materials and quantities; unknown material is never silently mapped to a safe category.</w:t>
            </w:r>
          </w:p>
        </w:tc>
      </w:tr>
      <w:tr>
        <w:trPr>
          <w:cantSplit/>
        </w:trPr>
        <w:tc>
          <w:tcPr>
            <w:tcW w:type="dxa" w:w="691"/>
            <w:vAlign w:val="center"/>
            <w:tcMar>
              <w:top w:w="90" w:type="dxa"/>
              <w:start w:w="100" w:type="dxa"/>
              <w:bottom w:w="90" w:type="dxa"/>
              <w:end w:w="100" w:type="dxa"/>
            </w:tcMar>
          </w:tcPr>
          <w:p>
            <w:pPr>
              <w:spacing w:after="0" w:before="0" w:line="240" w:lineRule="auto"/>
            </w:pPr>
            <w:r/>
            <w:r>
              <w:rPr>
                <w:rFonts w:ascii="Aptos" w:hAnsi="Aptos"/>
                <w:b w:val="0"/>
                <w:color w:val="20302B"/>
                <w:sz w:val="14"/>
              </w:rPr>
              <w:t>FR-05</w:t>
            </w:r>
          </w:p>
        </w:tc>
        <w:tc>
          <w:tcPr>
            <w:tcW w:type="dxa" w:w="1512"/>
            <w:vAlign w:val="center"/>
            <w:tcMar>
              <w:top w:w="90" w:type="dxa"/>
              <w:start w:w="100" w:type="dxa"/>
              <w:bottom w:w="90" w:type="dxa"/>
              <w:end w:w="100" w:type="dxa"/>
            </w:tcMar>
          </w:tcPr>
          <w:p>
            <w:pPr>
              <w:spacing w:after="0" w:before="0" w:line="240" w:lineRule="auto"/>
            </w:pPr>
            <w:r/>
            <w:r>
              <w:rPr>
                <w:rFonts w:ascii="Aptos" w:hAnsi="Aptos"/>
                <w:b w:val="0"/>
                <w:color w:val="20302B"/>
                <w:sz w:val="14"/>
              </w:rPr>
              <w:t>Method recommendation</w:t>
            </w:r>
          </w:p>
        </w:tc>
        <w:tc>
          <w:tcPr>
            <w:tcW w:type="dxa" w:w="749"/>
            <w:vAlign w:val="center"/>
            <w:tcMar>
              <w:top w:w="90" w:type="dxa"/>
              <w:start w:w="100" w:type="dxa"/>
              <w:bottom w:w="90" w:type="dxa"/>
              <w:end w:w="100" w:type="dxa"/>
            </w:tcMar>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4"/>
              </w:rPr>
              <w:t>Use a rule-based engine limited to expert-reviewed method profiles. Consider space, vessel, waste quantity, location, maintenance willingness and material mix.</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4"/>
              </w:rPr>
              <w:t>Recommendation includes rationale, limitations and required actions. No method is recommended where a critical prerequisite fails.</w:t>
            </w:r>
          </w:p>
        </w:tc>
      </w:tr>
      <w:tr>
        <w:trPr>
          <w:cantSplit/>
        </w:trPr>
        <w:tc>
          <w:tcPr>
            <w:tcW w:type="dxa" w:w="691"/>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FR-06</w:t>
            </w:r>
          </w:p>
        </w:tc>
        <w:tc>
          <w:tcPr>
            <w:tcW w:type="dxa" w:w="15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Compost plan</w:t>
            </w:r>
          </w:p>
        </w:tc>
        <w:tc>
          <w:tcPr>
            <w:tcW w:type="dxa" w:w="749"/>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Provide a starting sequence, brown / green guidance appropriate to the method, moisture / airflow reminders, material exclusions and maintenance steps.</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Rules reference a maintained source or reviewer; user can see the method and major assumptions.</w:t>
            </w:r>
          </w:p>
        </w:tc>
      </w:tr>
    </w:tbl>
    <w:p>
      <w:pPr>
        <w:spacing w:after="0"/>
      </w:pPr>
    </w:p>
    <w:p>
      <w:r>
        <w:br w:type="page"/>
      </w:r>
    </w:p>
    <w:p>
      <w:pPr>
        <w:pStyle w:val="Heading1"/>
      </w:pPr>
      <w:r>
        <w:t>4. Functional requirements (continued)</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691"/>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ID</w:t>
            </w:r>
          </w:p>
        </w:tc>
        <w:tc>
          <w:tcPr>
            <w:tcW w:type="dxa" w:w="1512"/>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REQUIREMENT</w:t>
            </w:r>
          </w:p>
        </w:tc>
        <w:tc>
          <w:tcPr>
            <w:tcW w:type="dxa" w:w="749"/>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PRIORITY</w:t>
            </w:r>
          </w:p>
        </w:tc>
        <w:tc>
          <w:tcPr>
            <w:tcW w:type="dxa" w:w="3240"/>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BEHAVIOUR</w:t>
            </w:r>
          </w:p>
        </w:tc>
        <w:tc>
          <w:tcPr>
            <w:tcW w:type="dxa" w:w="3312"/>
            <w:vAlign w:val="center"/>
            <w:tcMar>
              <w:top w:w="90" w:type="dxa"/>
              <w:start w:w="100" w:type="dxa"/>
              <w:bottom w:w="90" w:type="dxa"/>
              <w:end w:w="100" w:type="dxa"/>
            </w:tcMar>
            <w:shd w:fill="183B32"/>
          </w:tcPr>
          <w:p>
            <w:pPr>
              <w:spacing w:after="0" w:before="0" w:line="240" w:lineRule="auto"/>
            </w:pPr>
            <w:r/>
            <w:r>
              <w:rPr>
                <w:rFonts w:ascii="Aptos" w:hAnsi="Aptos"/>
                <w:b/>
                <w:color w:val="FFFFFF"/>
                <w:sz w:val="14"/>
              </w:rPr>
              <w:t>ACCEPTANCE CRITERIA</w:t>
            </w:r>
          </w:p>
        </w:tc>
      </w:tr>
      <w:tr>
        <w:trPr>
          <w:cantSplit/>
        </w:trPr>
        <w:tc>
          <w:tcPr>
            <w:tcW w:type="dxa" w:w="691"/>
            <w:vAlign w:val="center"/>
            <w:tcMar>
              <w:top w:w="90" w:type="dxa"/>
              <w:start w:w="100" w:type="dxa"/>
              <w:bottom w:w="90" w:type="dxa"/>
              <w:end w:w="100" w:type="dxa"/>
            </w:tcMar>
          </w:tcPr>
          <w:p>
            <w:pPr>
              <w:spacing w:after="0" w:before="0" w:line="240" w:lineRule="auto"/>
            </w:pPr>
            <w:r/>
            <w:r>
              <w:rPr>
                <w:rFonts w:ascii="Aptos" w:hAnsi="Aptos"/>
                <w:b w:val="0"/>
                <w:color w:val="20302B"/>
                <w:sz w:val="14"/>
              </w:rPr>
              <w:t>FR-07</w:t>
            </w:r>
          </w:p>
        </w:tc>
        <w:tc>
          <w:tcPr>
            <w:tcW w:type="dxa" w:w="1512"/>
            <w:vAlign w:val="center"/>
            <w:tcMar>
              <w:top w:w="90" w:type="dxa"/>
              <w:start w:w="100" w:type="dxa"/>
              <w:bottom w:w="90" w:type="dxa"/>
              <w:end w:w="100" w:type="dxa"/>
            </w:tcMar>
          </w:tcPr>
          <w:p>
            <w:pPr>
              <w:spacing w:after="0" w:before="0" w:line="240" w:lineRule="auto"/>
            </w:pPr>
            <w:r/>
            <w:r>
              <w:rPr>
                <w:rFonts w:ascii="Aptos" w:hAnsi="Aptos"/>
                <w:b w:val="0"/>
                <w:color w:val="20302B"/>
                <w:sz w:val="14"/>
              </w:rPr>
              <w:t>Batch tracker</w:t>
            </w:r>
          </w:p>
        </w:tc>
        <w:tc>
          <w:tcPr>
            <w:tcW w:type="dxa" w:w="749"/>
            <w:vAlign w:val="center"/>
            <w:tcMar>
              <w:top w:w="90" w:type="dxa"/>
              <w:start w:w="100" w:type="dxa"/>
              <w:bottom w:w="90" w:type="dxa"/>
              <w:end w:w="100" w:type="dxa"/>
            </w:tcMar>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4"/>
              </w:rPr>
              <w:t>Record batch start date, material additions, approximate quantities, moisture observation, odour, temperature if measured, turning / mixing, pests, notes and changes made.</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4"/>
              </w:rPr>
              <w:t>Logs are timestamped and retained for the selected batch; unmeasured values remain blank rather than fabricated.</w:t>
            </w:r>
          </w:p>
        </w:tc>
      </w:tr>
      <w:tr>
        <w:trPr>
          <w:cantSplit/>
        </w:trPr>
        <w:tc>
          <w:tcPr>
            <w:tcW w:type="dxa" w:w="691"/>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FR-08</w:t>
            </w:r>
          </w:p>
        </w:tc>
        <w:tc>
          <w:tcPr>
            <w:tcW w:type="dxa" w:w="15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Troubleshooter</w:t>
            </w:r>
          </w:p>
        </w:tc>
        <w:tc>
          <w:tcPr>
            <w:tcW w:type="dxa" w:w="749"/>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Use reviewed symptom-to-action rules for common reports such as unpleasant odour, excess moisture, dryness, flies / pests and slow visible decomposition. Ask follow-up questions where needed.</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Advice is conditional and explainable; ambiguous or high-risk cases are escalated to stop / seek expert help rather than overconfidently diagnosed.</w:t>
            </w:r>
          </w:p>
        </w:tc>
      </w:tr>
      <w:tr>
        <w:trPr>
          <w:cantSplit/>
        </w:trPr>
        <w:tc>
          <w:tcPr>
            <w:tcW w:type="dxa" w:w="691"/>
            <w:vAlign w:val="center"/>
            <w:tcMar>
              <w:top w:w="90" w:type="dxa"/>
              <w:start w:w="100" w:type="dxa"/>
              <w:bottom w:w="90" w:type="dxa"/>
              <w:end w:w="100" w:type="dxa"/>
            </w:tcMar>
          </w:tcPr>
          <w:p>
            <w:pPr>
              <w:spacing w:after="0" w:before="0" w:line="240" w:lineRule="auto"/>
            </w:pPr>
            <w:r/>
            <w:r>
              <w:rPr>
                <w:rFonts w:ascii="Aptos" w:hAnsi="Aptos"/>
                <w:b w:val="0"/>
                <w:color w:val="20302B"/>
                <w:sz w:val="14"/>
              </w:rPr>
              <w:t>FR-09</w:t>
            </w:r>
          </w:p>
        </w:tc>
        <w:tc>
          <w:tcPr>
            <w:tcW w:type="dxa" w:w="1512"/>
            <w:vAlign w:val="center"/>
            <w:tcMar>
              <w:top w:w="90" w:type="dxa"/>
              <w:start w:w="100" w:type="dxa"/>
              <w:bottom w:w="90" w:type="dxa"/>
              <w:end w:w="100" w:type="dxa"/>
            </w:tcMar>
          </w:tcPr>
          <w:p>
            <w:pPr>
              <w:spacing w:after="0" w:before="0" w:line="240" w:lineRule="auto"/>
            </w:pPr>
            <w:r/>
            <w:r>
              <w:rPr>
                <w:rFonts w:ascii="Aptos" w:hAnsi="Aptos"/>
                <w:b w:val="0"/>
                <w:color w:val="20302B"/>
                <w:sz w:val="14"/>
              </w:rPr>
              <w:t>Readiness guidance</w:t>
            </w:r>
          </w:p>
        </w:tc>
        <w:tc>
          <w:tcPr>
            <w:tcW w:type="dxa" w:w="749"/>
            <w:vAlign w:val="center"/>
            <w:tcMar>
              <w:top w:w="90" w:type="dxa"/>
              <w:start w:w="100" w:type="dxa"/>
              <w:bottom w:w="90" w:type="dxa"/>
              <w:end w:w="100" w:type="dxa"/>
            </w:tcMar>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4"/>
              </w:rPr>
              <w:t>Display a cautious readiness window only where supported by the method and data; use observable maturity checks and distinguish estimate from confirmation.</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4"/>
              </w:rPr>
              <w:t>Never promise a fixed ready date from dimensions alone. User must complete a maturity checklist / confirmation before the batch is marked ready for use.</w:t>
            </w:r>
          </w:p>
        </w:tc>
      </w:tr>
      <w:tr>
        <w:trPr>
          <w:cantSplit/>
        </w:trPr>
        <w:tc>
          <w:tcPr>
            <w:tcW w:type="dxa" w:w="691"/>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FR-10</w:t>
            </w:r>
          </w:p>
        </w:tc>
        <w:tc>
          <w:tcPr>
            <w:tcW w:type="dxa" w:w="15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Plant guide</w:t>
            </w:r>
          </w:p>
        </w:tc>
        <w:tc>
          <w:tcPr>
            <w:tcW w:type="dxa" w:w="749"/>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P1</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Begin with no more than three reviewed plants, with variety / season caveats, sunlight, container needs, sowing guidance, watering and compost-use limitations.</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Each guide lists sources and notes regional / seasonal limits. Mature compost is not presented as a universal replacement for potting mix.</w:t>
            </w:r>
          </w:p>
        </w:tc>
      </w:tr>
      <w:tr>
        <w:trPr>
          <w:cantSplit/>
        </w:trPr>
        <w:tc>
          <w:tcPr>
            <w:tcW w:type="dxa" w:w="691"/>
            <w:vAlign w:val="center"/>
            <w:tcMar>
              <w:top w:w="90" w:type="dxa"/>
              <w:start w:w="100" w:type="dxa"/>
              <w:bottom w:w="90" w:type="dxa"/>
              <w:end w:w="100" w:type="dxa"/>
            </w:tcMar>
          </w:tcPr>
          <w:p>
            <w:pPr>
              <w:spacing w:after="0" w:before="0" w:line="240" w:lineRule="auto"/>
            </w:pPr>
            <w:r/>
            <w:r>
              <w:rPr>
                <w:rFonts w:ascii="Aptos" w:hAnsi="Aptos"/>
                <w:b w:val="0"/>
                <w:color w:val="20302B"/>
                <w:sz w:val="14"/>
              </w:rPr>
              <w:t>FR-11</w:t>
            </w:r>
          </w:p>
        </w:tc>
        <w:tc>
          <w:tcPr>
            <w:tcW w:type="dxa" w:w="1512"/>
            <w:vAlign w:val="center"/>
            <w:tcMar>
              <w:top w:w="90" w:type="dxa"/>
              <w:start w:w="100" w:type="dxa"/>
              <w:bottom w:w="90" w:type="dxa"/>
              <w:end w:w="100" w:type="dxa"/>
            </w:tcMar>
          </w:tcPr>
          <w:p>
            <w:pPr>
              <w:spacing w:after="0" w:before="0" w:line="240" w:lineRule="auto"/>
            </w:pPr>
            <w:r/>
            <w:r>
              <w:rPr>
                <w:rFonts w:ascii="Aptos" w:hAnsi="Aptos"/>
                <w:b w:val="0"/>
                <w:color w:val="20302B"/>
                <w:sz w:val="14"/>
              </w:rPr>
              <w:t>Impact summary</w:t>
            </w:r>
          </w:p>
        </w:tc>
        <w:tc>
          <w:tcPr>
            <w:tcW w:type="dxa" w:w="749"/>
            <w:vAlign w:val="center"/>
            <w:tcMar>
              <w:top w:w="90" w:type="dxa"/>
              <w:start w:w="100" w:type="dxa"/>
              <w:bottom w:w="90" w:type="dxa"/>
              <w:end w:w="100" w:type="dxa"/>
            </w:tcMar>
          </w:tcPr>
          <w:p>
            <w:pPr>
              <w:spacing w:after="0" w:before="0" w:line="240" w:lineRule="auto"/>
            </w:pPr>
            <w:r/>
            <w:r>
              <w:rPr>
                <w:rFonts w:ascii="Aptos" w:hAnsi="Aptos"/>
                <w:b w:val="0"/>
                <w:color w:val="20302B"/>
                <w:sz w:val="14"/>
              </w:rPr>
              <w:t>P1</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4"/>
              </w:rPr>
              <w:t>Summarize actual weighed material added to batches, current batch status and recorded outcomes. Clearly separate directly measured, user-reported and estimated values.</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4"/>
              </w:rPr>
              <w:t>Dashboard labels every estimate and period; it does not count a recommendation or signup as waste diverted.</w:t>
            </w:r>
          </w:p>
        </w:tc>
      </w:tr>
      <w:tr>
        <w:trPr>
          <w:cantSplit/>
        </w:trPr>
        <w:tc>
          <w:tcPr>
            <w:tcW w:type="dxa" w:w="691"/>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FR-12</w:t>
            </w:r>
          </w:p>
        </w:tc>
        <w:tc>
          <w:tcPr>
            <w:tcW w:type="dxa" w:w="15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Sources and feedback</w:t>
            </w:r>
          </w:p>
        </w:tc>
        <w:tc>
          <w:tcPr>
            <w:tcW w:type="dxa" w:w="749"/>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Show the source / reviewer for advice and let pilot users report confusing or unsuitable guidance.</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4"/>
              </w:rPr>
              <w:t>Every safety-sensitive rule has a source or named reviewer in the internal rule record; feedback is stored for review.</w:t>
            </w:r>
          </w:p>
        </w:tc>
      </w:tr>
      <w:tr>
        <w:trPr>
          <w:cantSplit/>
        </w:trPr>
        <w:tc>
          <w:tcPr>
            <w:tcW w:type="dxa" w:w="691"/>
            <w:vAlign w:val="center"/>
            <w:tcMar>
              <w:top w:w="90" w:type="dxa"/>
              <w:start w:w="100" w:type="dxa"/>
              <w:bottom w:w="90" w:type="dxa"/>
              <w:end w:w="100" w:type="dxa"/>
            </w:tcMar>
          </w:tcPr>
          <w:p>
            <w:pPr>
              <w:spacing w:after="0" w:before="0" w:line="240" w:lineRule="auto"/>
            </w:pPr>
            <w:r/>
            <w:r>
              <w:rPr>
                <w:rFonts w:ascii="Aptos" w:hAnsi="Aptos"/>
                <w:b w:val="0"/>
                <w:color w:val="20302B"/>
                <w:sz w:val="14"/>
              </w:rPr>
              <w:t>FR-13</w:t>
            </w:r>
          </w:p>
        </w:tc>
        <w:tc>
          <w:tcPr>
            <w:tcW w:type="dxa" w:w="1512"/>
            <w:vAlign w:val="center"/>
            <w:tcMar>
              <w:top w:w="90" w:type="dxa"/>
              <w:start w:w="100" w:type="dxa"/>
              <w:bottom w:w="90" w:type="dxa"/>
              <w:end w:w="100" w:type="dxa"/>
            </w:tcMar>
          </w:tcPr>
          <w:p>
            <w:pPr>
              <w:spacing w:after="0" w:before="0" w:line="240" w:lineRule="auto"/>
            </w:pPr>
            <w:r/>
            <w:r>
              <w:rPr>
                <w:rFonts w:ascii="Aptos" w:hAnsi="Aptos"/>
                <w:b w:val="0"/>
                <w:color w:val="20302B"/>
                <w:sz w:val="14"/>
              </w:rPr>
              <w:t>Privacy and deletion</w:t>
            </w:r>
          </w:p>
        </w:tc>
        <w:tc>
          <w:tcPr>
            <w:tcW w:type="dxa" w:w="749"/>
            <w:vAlign w:val="center"/>
            <w:tcMar>
              <w:top w:w="90" w:type="dxa"/>
              <w:start w:w="100" w:type="dxa"/>
              <w:bottom w:w="90" w:type="dxa"/>
              <w:end w:w="100" w:type="dxa"/>
            </w:tcMar>
          </w:tcPr>
          <w:p>
            <w:pPr>
              <w:spacing w:after="0" w:before="0" w:line="240" w:lineRule="auto"/>
            </w:pPr>
            <w:r/>
            <w:r>
              <w:rPr>
                <w:rFonts w:ascii="Aptos" w:hAnsi="Aptos"/>
                <w:b w:val="0"/>
                <w:color w:val="20302B"/>
                <w:sz w:val="14"/>
              </w:rPr>
              <w:t>P0</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4"/>
              </w:rPr>
              <w:t>Collect only data needed for the pilot. Avoid precise home addresses. Make photos optional and obtain consent before collecting identifiable photos.</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4"/>
              </w:rPr>
              <w:t>User can understand what is stored; pilot data can be deleted by an authorized admin and identifying data is not shown publicly.</w:t>
            </w:r>
          </w:p>
        </w:tc>
      </w:tr>
    </w:tbl>
    <w:p>
      <w:pPr>
        <w:spacing w:after="0"/>
      </w:pPr>
    </w:p>
    <w:p>
      <w:pPr>
        <w:pStyle w:val="Heading2"/>
      </w:pPr>
      <w:r>
        <w:t>Safety-critical rules</w:t>
      </w:r>
    </w:p>
    <w:p>
      <w:pPr>
        <w:pStyle w:val="ListBullet"/>
        <w:spacing w:after="40"/>
        <w:ind w:left="346" w:hanging="216"/>
      </w:pPr>
      <w:r>
        <w:t>Do not declare a vessel safe based only on the word “plastic”, “metal” or a recycling symbol. Consider previous use, condition, coatings and uncertainty.</w:t>
      </w:r>
    </w:p>
    <w:p>
      <w:pPr>
        <w:pStyle w:val="ListBullet"/>
        <w:spacing w:after="40"/>
        <w:ind w:left="346" w:hanging="216"/>
      </w:pPr>
      <w:r>
        <w:t>Do not advise reuse of a container that held hazardous chemicals or whose previous contents are unknown when the risk cannot be reasonably resolved.</w:t>
      </w:r>
    </w:p>
    <w:p>
      <w:pPr>
        <w:pStyle w:val="ListBullet"/>
        <w:spacing w:after="40"/>
        <w:ind w:left="346" w:hanging="216"/>
      </w:pPr>
      <w:r>
        <w:t>Do not provide a fixed “compost ready on date X” promise. Container dimensions inform geometry, not biological maturity.</w:t>
      </w:r>
    </w:p>
    <w:p>
      <w:pPr>
        <w:pStyle w:val="ListBullet"/>
        <w:spacing w:after="40"/>
        <w:ind w:left="346" w:hanging="216"/>
      </w:pPr>
      <w:r>
        <w:t>Do not allow an AI model to invent material safety, compost ratios, plant-care rules or maturity conclusions. The MVP uses reviewed, testable rules.</w:t>
      </w:r>
    </w:p>
    <w:p>
      <w:pPr>
        <w:pStyle w:val="ListBullet"/>
        <w:spacing w:after="40"/>
        <w:ind w:left="346" w:hanging="216"/>
      </w:pPr>
      <w:r>
        <w:t>Do not tell users to apply immature or contaminated material to edible plants. When there is uncertainty, advise waiting or consulting a qualified local expert.</w:t>
      </w:r>
    </w:p>
    <w:p>
      <w:pPr>
        <w:pStyle w:val="Heading1"/>
      </w:pPr>
      <w:r>
        <w:t>5. Non-functional requirements and technical approach</w:t>
      </w:r>
    </w:p>
    <w:p>
      <w:pPr>
        <w:pStyle w:val="Heading2"/>
      </w:pPr>
      <w:r>
        <w:t>5.1 Non-functional requirements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1944"/>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AREA</w:t>
            </w:r>
          </w:p>
        </w:tc>
        <w:tc>
          <w:tcPr>
            <w:tcW w:type="dxa" w:w="7560"/>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REQUIREMENT</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6"/>
              </w:rPr>
              <w:t>Mobile-first UX</w:t>
            </w:r>
          </w:p>
        </w:tc>
        <w:tc>
          <w:tcPr>
            <w:tcW w:type="dxa" w:w="7560"/>
            <w:vAlign w:val="center"/>
            <w:tcMar>
              <w:top w:w="90" w:type="dxa"/>
              <w:start w:w="100" w:type="dxa"/>
              <w:bottom w:w="90" w:type="dxa"/>
              <w:end w:w="100" w:type="dxa"/>
            </w:tcMar>
          </w:tcPr>
          <w:p>
            <w:pPr>
              <w:spacing w:after="0" w:before="0" w:line="240" w:lineRule="auto"/>
            </w:pPr>
            <w:r/>
            <w:r>
              <w:rPr>
                <w:rFonts w:ascii="Aptos" w:hAnsi="Aptos"/>
                <w:b w:val="0"/>
                <w:color w:val="20302B"/>
                <w:sz w:val="16"/>
              </w:rPr>
              <w:t>Core tasks work on common mobile screen widths; forms use clear labels, units, examples and actionable validation messages.</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Accessibility</w:t>
            </w:r>
          </w:p>
        </w:tc>
        <w:tc>
          <w:tcPr>
            <w:tcW w:type="dxa" w:w="756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Keyboard navigation, sensible heading order, adequate contrast, labels for inputs and error messages that do not rely on colour alone.</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6"/>
              </w:rPr>
              <w:t>Performance</w:t>
            </w:r>
          </w:p>
        </w:tc>
        <w:tc>
          <w:tcPr>
            <w:tcW w:type="dxa" w:w="7560"/>
            <w:vAlign w:val="center"/>
            <w:tcMar>
              <w:top w:w="90" w:type="dxa"/>
              <w:start w:w="100" w:type="dxa"/>
              <w:bottom w:w="90" w:type="dxa"/>
              <w:end w:w="100" w:type="dxa"/>
            </w:tcMar>
          </w:tcPr>
          <w:p>
            <w:pPr>
              <w:spacing w:after="0" w:before="0" w:line="240" w:lineRule="auto"/>
            </w:pPr>
            <w:r/>
            <w:r>
              <w:rPr>
                <w:rFonts w:ascii="Aptos" w:hAnsi="Aptos"/>
                <w:b w:val="0"/>
                <w:color w:val="20302B"/>
                <w:sz w:val="16"/>
              </w:rPr>
              <w:t>For the MVP, recommendation results should normally render in under 2 seconds on a reasonable connection, excluding network failures.</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Explainability</w:t>
            </w:r>
          </w:p>
        </w:tc>
        <w:tc>
          <w:tcPr>
            <w:tcW w:type="dxa" w:w="756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Each rule-based recommendation exposes the reason, limitations, source and rule version used.</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6"/>
              </w:rPr>
              <w:t>Reliability</w:t>
            </w:r>
          </w:p>
        </w:tc>
        <w:tc>
          <w:tcPr>
            <w:tcW w:type="dxa" w:w="7560"/>
            <w:vAlign w:val="center"/>
            <w:tcMar>
              <w:top w:w="90" w:type="dxa"/>
              <w:start w:w="100" w:type="dxa"/>
              <w:bottom w:w="90" w:type="dxa"/>
              <w:end w:w="100" w:type="dxa"/>
            </w:tcMar>
          </w:tcPr>
          <w:p>
            <w:pPr>
              <w:spacing w:after="0" w:before="0" w:line="240" w:lineRule="auto"/>
            </w:pPr>
            <w:r/>
            <w:r>
              <w:rPr>
                <w:rFonts w:ascii="Aptos" w:hAnsi="Aptos"/>
                <w:b w:val="0"/>
                <w:color w:val="20302B"/>
                <w:sz w:val="16"/>
              </w:rPr>
              <w:t>Input validation occurs on both client and server; failed saves show recovery guidance; timestamps and units are consistent.</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Privacy</w:t>
            </w:r>
          </w:p>
        </w:tc>
        <w:tc>
          <w:tcPr>
            <w:tcW w:type="dxa" w:w="756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Collect minimal personal data; no precise geolocation required; no public display of user locations or private logs.</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6"/>
              </w:rPr>
              <w:t>Maintainability</w:t>
            </w:r>
          </w:p>
        </w:tc>
        <w:tc>
          <w:tcPr>
            <w:tcW w:type="dxa" w:w="7560"/>
            <w:vAlign w:val="center"/>
            <w:tcMar>
              <w:top w:w="90" w:type="dxa"/>
              <w:start w:w="100" w:type="dxa"/>
              <w:bottom w:w="90" w:type="dxa"/>
              <w:end w:w="100" w:type="dxa"/>
            </w:tcMar>
          </w:tcPr>
          <w:p>
            <w:pPr>
              <w:spacing w:after="0" w:before="0" w:line="240" w:lineRule="auto"/>
            </w:pPr>
            <w:r/>
            <w:r>
              <w:rPr>
                <w:rFonts w:ascii="Aptos" w:hAnsi="Aptos"/>
                <w:b w:val="0"/>
                <w:color w:val="20302B"/>
                <w:sz w:val="16"/>
              </w:rPr>
              <w:t>Rules and content are stored separately from UI code and can be reviewed / versioned without rewriting components.</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Honest uncertainty</w:t>
            </w:r>
          </w:p>
        </w:tc>
        <w:tc>
          <w:tcPr>
            <w:tcW w:type="dxa" w:w="756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Unknown or contradictory inputs must produce a request for clarification or a cautious outcome, not a guessed value.</w:t>
            </w:r>
          </w:p>
        </w:tc>
      </w:tr>
    </w:tbl>
    <w:p>
      <w:pPr>
        <w:spacing w:after="0"/>
      </w:pPr>
    </w:p>
    <w:p>
      <w:pPr>
        <w:pStyle w:val="Heading2"/>
      </w:pPr>
      <w:r>
        <w:t>5.2 Suggested architecture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LAYER</w:t>
            </w:r>
          </w:p>
        </w:tc>
        <w:tc>
          <w:tcPr>
            <w:tcW w:type="dxa" w:w="2376"/>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SUGGESTED IMPLEMENTATION</w:t>
            </w:r>
          </w:p>
        </w:tc>
        <w:tc>
          <w:tcPr>
            <w:tcW w:type="dxa" w:w="5328"/>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NOTES</w:t>
            </w:r>
          </w:p>
        </w:tc>
      </w:tr>
      <w:tr>
        <w:trPr>
          <w:cantSplit/>
        </w:trPr>
        <w:tc>
          <w:tcPr>
            <w:tcW w:type="dxa" w:w="1800"/>
            <w:vAlign w:val="center"/>
            <w:tcMar>
              <w:top w:w="90" w:type="dxa"/>
              <w:start w:w="100" w:type="dxa"/>
              <w:bottom w:w="90" w:type="dxa"/>
              <w:end w:w="100" w:type="dxa"/>
            </w:tcMar>
          </w:tcPr>
          <w:p>
            <w:pPr>
              <w:spacing w:after="0" w:before="0" w:line="240" w:lineRule="auto"/>
            </w:pPr>
            <w:r/>
            <w:r>
              <w:rPr>
                <w:rFonts w:ascii="Aptos" w:hAnsi="Aptos"/>
                <w:b w:val="0"/>
                <w:color w:val="20302B"/>
                <w:sz w:val="16"/>
              </w:rPr>
              <w:t>Frontend</w:t>
            </w:r>
          </w:p>
        </w:tc>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6"/>
              </w:rPr>
              <w:t>React</w:t>
            </w:r>
          </w:p>
        </w:tc>
        <w:tc>
          <w:tcPr>
            <w:tcW w:type="dxa" w:w="5328"/>
            <w:vAlign w:val="center"/>
            <w:tcMar>
              <w:top w:w="90" w:type="dxa"/>
              <w:start w:w="100" w:type="dxa"/>
              <w:bottom w:w="90" w:type="dxa"/>
              <w:end w:w="100" w:type="dxa"/>
            </w:tcMar>
          </w:tcPr>
          <w:p>
            <w:pPr>
              <w:spacing w:after="0" w:before="0" w:line="240" w:lineRule="auto"/>
            </w:pPr>
            <w:r/>
            <w:r>
              <w:rPr>
                <w:rFonts w:ascii="Aptos" w:hAnsi="Aptos"/>
                <w:b w:val="0"/>
                <w:color w:val="20302B"/>
                <w:sz w:val="16"/>
              </w:rPr>
              <w:t>Responsive onboarding, setup results, batch log, troubleshooting and compact plant pages.</w:t>
            </w:r>
          </w:p>
        </w:tc>
      </w:tr>
      <w:tr>
        <w:trPr>
          <w:cantSplit/>
        </w:trPr>
        <w:tc>
          <w:tcPr>
            <w:tcW w:type="dxa" w:w="180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Backend</w:t>
            </w:r>
          </w:p>
        </w:tc>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Node.js + Express</w:t>
            </w:r>
          </w:p>
        </w:tc>
        <w:tc>
          <w:tcPr>
            <w:tcW w:type="dxa" w:w="53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REST endpoints; input validation; authentication only if pilot requires it; recommendation API.</w:t>
            </w:r>
          </w:p>
        </w:tc>
      </w:tr>
      <w:tr>
        <w:trPr>
          <w:cantSplit/>
        </w:trPr>
        <w:tc>
          <w:tcPr>
            <w:tcW w:type="dxa" w:w="1800"/>
            <w:vAlign w:val="center"/>
            <w:tcMar>
              <w:top w:w="90" w:type="dxa"/>
              <w:start w:w="100" w:type="dxa"/>
              <w:bottom w:w="90" w:type="dxa"/>
              <w:end w:w="100" w:type="dxa"/>
            </w:tcMar>
          </w:tcPr>
          <w:p>
            <w:pPr>
              <w:spacing w:after="0" w:before="0" w:line="240" w:lineRule="auto"/>
            </w:pPr>
            <w:r/>
            <w:r>
              <w:rPr>
                <w:rFonts w:ascii="Aptos" w:hAnsi="Aptos"/>
                <w:b w:val="0"/>
                <w:color w:val="20302B"/>
                <w:sz w:val="16"/>
              </w:rPr>
              <w:t>Database</w:t>
            </w:r>
          </w:p>
        </w:tc>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6"/>
              </w:rPr>
              <w:t>MongoDB</w:t>
            </w:r>
          </w:p>
        </w:tc>
        <w:tc>
          <w:tcPr>
            <w:tcW w:type="dxa" w:w="5328"/>
            <w:vAlign w:val="center"/>
            <w:tcMar>
              <w:top w:w="90" w:type="dxa"/>
              <w:start w:w="100" w:type="dxa"/>
              <w:bottom w:w="90" w:type="dxa"/>
              <w:end w:w="100" w:type="dxa"/>
            </w:tcMar>
          </w:tcPr>
          <w:p>
            <w:pPr>
              <w:spacing w:after="0" w:before="0" w:line="240" w:lineRule="auto"/>
            </w:pPr>
            <w:r/>
            <w:r>
              <w:rPr>
                <w:rFonts w:ascii="Aptos" w:hAnsi="Aptos"/>
                <w:b w:val="0"/>
                <w:color w:val="20302B"/>
                <w:sz w:val="16"/>
              </w:rPr>
              <w:t>Setup profiles, batch records, user observations, feedback and versioned content / rule records.</w:t>
            </w:r>
          </w:p>
        </w:tc>
      </w:tr>
      <w:tr>
        <w:trPr>
          <w:cantSplit/>
        </w:trPr>
        <w:tc>
          <w:tcPr>
            <w:tcW w:type="dxa" w:w="180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Recommendation engine</w:t>
            </w:r>
          </w:p>
        </w:tc>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Deterministic rule modules</w:t>
            </w:r>
          </w:p>
        </w:tc>
        <w:tc>
          <w:tcPr>
            <w:tcW w:type="dxa" w:w="53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Rules should be small, testable and source-linked. Do not start with an LLM-based black box.</w:t>
            </w:r>
          </w:p>
        </w:tc>
      </w:tr>
      <w:tr>
        <w:trPr>
          <w:cantSplit/>
        </w:trPr>
        <w:tc>
          <w:tcPr>
            <w:tcW w:type="dxa" w:w="1800"/>
            <w:vAlign w:val="center"/>
            <w:tcMar>
              <w:top w:w="90" w:type="dxa"/>
              <w:start w:w="100" w:type="dxa"/>
              <w:bottom w:w="90" w:type="dxa"/>
              <w:end w:w="100" w:type="dxa"/>
            </w:tcMar>
          </w:tcPr>
          <w:p>
            <w:pPr>
              <w:spacing w:after="0" w:before="0" w:line="240" w:lineRule="auto"/>
            </w:pPr>
            <w:r/>
            <w:r>
              <w:rPr>
                <w:rFonts w:ascii="Aptos" w:hAnsi="Aptos"/>
                <w:b w:val="0"/>
                <w:color w:val="20302B"/>
                <w:sz w:val="16"/>
              </w:rPr>
              <w:t>Hosting</w:t>
            </w:r>
          </w:p>
        </w:tc>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6"/>
              </w:rPr>
              <w:t>Any supported student-friendly host</w:t>
            </w:r>
          </w:p>
        </w:tc>
        <w:tc>
          <w:tcPr>
            <w:tcW w:type="dxa" w:w="5328"/>
            <w:vAlign w:val="center"/>
            <w:tcMar>
              <w:top w:w="90" w:type="dxa"/>
              <w:start w:w="100" w:type="dxa"/>
              <w:bottom w:w="90" w:type="dxa"/>
              <w:end w:w="100" w:type="dxa"/>
            </w:tcMar>
          </w:tcPr>
          <w:p>
            <w:pPr>
              <w:spacing w:after="0" w:before="0" w:line="240" w:lineRule="auto"/>
            </w:pPr>
            <w:r/>
            <w:r>
              <w:rPr>
                <w:rFonts w:ascii="Aptos" w:hAnsi="Aptos"/>
                <w:b w:val="0"/>
                <w:color w:val="20302B"/>
                <w:sz w:val="16"/>
              </w:rPr>
              <w:t>Choose based on current limits, persistence, security and cost; document environment variables and backups.</w:t>
            </w:r>
          </w:p>
        </w:tc>
      </w:tr>
    </w:tbl>
    <w:p>
      <w:pPr>
        <w:spacing w:after="0"/>
      </w:pPr>
    </w:p>
    <w:p>
      <w:pPr>
        <w:pStyle w:val="Heading2"/>
      </w:pPr>
      <w:r>
        <w:t>5.3 Suggested data entities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088"/>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ENTITY</w:t>
            </w:r>
          </w:p>
        </w:tc>
        <w:tc>
          <w:tcPr>
            <w:tcW w:type="dxa" w:w="7416"/>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IMPORTANT FIELDS</w:t>
            </w:r>
          </w:p>
        </w:tc>
      </w:tr>
      <w:tr>
        <w:trPr>
          <w:cantSplit/>
        </w:trPr>
        <w:tc>
          <w:tcPr>
            <w:tcW w:type="dxa" w:w="2088"/>
            <w:vAlign w:val="center"/>
            <w:tcMar>
              <w:top w:w="90" w:type="dxa"/>
              <w:start w:w="100" w:type="dxa"/>
              <w:bottom w:w="90" w:type="dxa"/>
              <w:end w:w="100" w:type="dxa"/>
            </w:tcMar>
          </w:tcPr>
          <w:p>
            <w:pPr>
              <w:spacing w:after="0" w:before="0" w:line="240" w:lineRule="auto"/>
            </w:pPr>
            <w:r/>
            <w:r>
              <w:rPr>
                <w:rFonts w:ascii="Aptos" w:hAnsi="Aptos"/>
                <w:b w:val="0"/>
                <w:color w:val="20302B"/>
                <w:sz w:val="16"/>
              </w:rPr>
              <w:t>SetupProfile</w:t>
            </w:r>
          </w:p>
        </w:tc>
        <w:tc>
          <w:tcPr>
            <w:tcW w:type="dxa" w:w="7416"/>
            <w:vAlign w:val="center"/>
            <w:tcMar>
              <w:top w:w="90" w:type="dxa"/>
              <w:start w:w="100" w:type="dxa"/>
              <w:bottom w:w="90" w:type="dxa"/>
              <w:end w:w="100" w:type="dxa"/>
            </w:tcMar>
          </w:tcPr>
          <w:p>
            <w:pPr>
              <w:spacing w:after="0" w:before="0" w:line="240" w:lineRule="auto"/>
            </w:pPr>
            <w:r/>
            <w:r>
              <w:rPr>
                <w:rFonts w:ascii="Aptos" w:hAnsi="Aptos"/>
                <w:b w:val="0"/>
                <w:color w:val="20302B"/>
                <w:sz w:val="16"/>
              </w:rPr>
              <w:t>profileId, locationType, availableSpace, containerShape, internalDimensions, material, priorUse, condition, ventilation, drainage, location constraints</w:t>
            </w:r>
          </w:p>
        </w:tc>
      </w:tr>
      <w:tr>
        <w:trPr>
          <w:cantSplit/>
        </w:trPr>
        <w:tc>
          <w:tcPr>
            <w:tcW w:type="dxa" w:w="208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CompostPlan</w:t>
            </w:r>
          </w:p>
        </w:tc>
        <w:tc>
          <w:tcPr>
            <w:tcW w:type="dxa" w:w="741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planId, setupId, chosenMethod, supportedMaterials, quantities, recommendations, warningFlags, ruleVersion, sourceIds</w:t>
            </w:r>
          </w:p>
        </w:tc>
      </w:tr>
      <w:tr>
        <w:trPr>
          <w:cantSplit/>
        </w:trPr>
        <w:tc>
          <w:tcPr>
            <w:tcW w:type="dxa" w:w="2088"/>
            <w:vAlign w:val="center"/>
            <w:tcMar>
              <w:top w:w="90" w:type="dxa"/>
              <w:start w:w="100" w:type="dxa"/>
              <w:bottom w:w="90" w:type="dxa"/>
              <w:end w:w="100" w:type="dxa"/>
            </w:tcMar>
          </w:tcPr>
          <w:p>
            <w:pPr>
              <w:spacing w:after="0" w:before="0" w:line="240" w:lineRule="auto"/>
            </w:pPr>
            <w:r/>
            <w:r>
              <w:rPr>
                <w:rFonts w:ascii="Aptos" w:hAnsi="Aptos"/>
                <w:b w:val="0"/>
                <w:color w:val="20302B"/>
                <w:sz w:val="16"/>
              </w:rPr>
              <w:t>CompostBatch</w:t>
            </w:r>
          </w:p>
        </w:tc>
        <w:tc>
          <w:tcPr>
            <w:tcW w:type="dxa" w:w="7416"/>
            <w:vAlign w:val="center"/>
            <w:tcMar>
              <w:top w:w="90" w:type="dxa"/>
              <w:start w:w="100" w:type="dxa"/>
              <w:bottom w:w="90" w:type="dxa"/>
              <w:end w:w="100" w:type="dxa"/>
            </w:tcMar>
          </w:tcPr>
          <w:p>
            <w:pPr>
              <w:spacing w:after="0" w:before="0" w:line="240" w:lineRule="auto"/>
            </w:pPr>
            <w:r/>
            <w:r>
              <w:rPr>
                <w:rFonts w:ascii="Aptos" w:hAnsi="Aptos"/>
                <w:b w:val="0"/>
                <w:color w:val="20302B"/>
                <w:sz w:val="16"/>
              </w:rPr>
              <w:t>batchId, setupId, startDate, status, plannedMethod, totalMeasuredInput, readinessEstimateBand</w:t>
            </w:r>
          </w:p>
        </w:tc>
      </w:tr>
      <w:tr>
        <w:trPr>
          <w:cantSplit/>
        </w:trPr>
        <w:tc>
          <w:tcPr>
            <w:tcW w:type="dxa" w:w="208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BatchLog</w:t>
            </w:r>
          </w:p>
        </w:tc>
        <w:tc>
          <w:tcPr>
            <w:tcW w:type="dxa" w:w="741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batchId, timestamp, observations, temperatureValueAndUnit, moistureLabel, odourLabel, actionsTaken, notes</w:t>
            </w:r>
          </w:p>
        </w:tc>
      </w:tr>
      <w:tr>
        <w:trPr>
          <w:cantSplit/>
        </w:trPr>
        <w:tc>
          <w:tcPr>
            <w:tcW w:type="dxa" w:w="2088"/>
            <w:vAlign w:val="center"/>
            <w:tcMar>
              <w:top w:w="90" w:type="dxa"/>
              <w:start w:w="100" w:type="dxa"/>
              <w:bottom w:w="90" w:type="dxa"/>
              <w:end w:w="100" w:type="dxa"/>
            </w:tcMar>
          </w:tcPr>
          <w:p>
            <w:pPr>
              <w:spacing w:after="0" w:before="0" w:line="240" w:lineRule="auto"/>
            </w:pPr>
            <w:r/>
            <w:r>
              <w:rPr>
                <w:rFonts w:ascii="Aptos" w:hAnsi="Aptos"/>
                <w:b w:val="0"/>
                <w:color w:val="20302B"/>
                <w:sz w:val="16"/>
              </w:rPr>
              <w:t>Rule / Source</w:t>
            </w:r>
          </w:p>
        </w:tc>
        <w:tc>
          <w:tcPr>
            <w:tcW w:type="dxa" w:w="7416"/>
            <w:vAlign w:val="center"/>
            <w:tcMar>
              <w:top w:w="90" w:type="dxa"/>
              <w:start w:w="100" w:type="dxa"/>
              <w:bottom w:w="90" w:type="dxa"/>
              <w:end w:w="100" w:type="dxa"/>
            </w:tcMar>
          </w:tcPr>
          <w:p>
            <w:pPr>
              <w:spacing w:after="0" w:before="0" w:line="240" w:lineRule="auto"/>
            </w:pPr>
            <w:r/>
            <w:r>
              <w:rPr>
                <w:rFonts w:ascii="Aptos" w:hAnsi="Aptos"/>
                <w:b w:val="0"/>
                <w:color w:val="20302B"/>
                <w:sz w:val="16"/>
              </w:rPr>
              <w:t>ruleId, version, conditions, outcome, explanation, riskLevel, sourceUrl, reviewer, reviewDate</w:t>
            </w:r>
          </w:p>
        </w:tc>
      </w:tr>
      <w:tr>
        <w:trPr>
          <w:cantSplit/>
        </w:trPr>
        <w:tc>
          <w:tcPr>
            <w:tcW w:type="dxa" w:w="208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PlantGuide / Feedback</w:t>
            </w:r>
          </w:p>
        </w:tc>
        <w:tc>
          <w:tcPr>
            <w:tcW w:type="dxa" w:w="741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plantId, reviewedCareContent, regionNotes, sourceIds; feedbackId, issueType, description, resolutionStatus</w:t>
            </w:r>
          </w:p>
        </w:tc>
      </w:tr>
    </w:tbl>
    <w:p>
      <w:pPr>
        <w:spacing w:after="0"/>
      </w:pPr>
    </w:p>
    <w:p>
      <w:pPr>
        <w:pStyle w:val="Heading1"/>
      </w:pPr>
      <w:r>
        <w:t>6. Validation plan and success metrics</w:t>
      </w:r>
    </w:p>
    <w:p>
      <w:r>
        <w:rPr>
          <w:i w:val="0"/>
        </w:rPr>
        <w:t>The target is not to prove that composting is generally beneficial. The target is to prove that the chosen users need this guidance and that Cust-Post’s recommendations are understandable, sufficiently accurate for the defined scope, and useful in real practice.</w:t>
      </w:r>
    </w:p>
    <w:p>
      <w:pPr>
        <w:pStyle w:val="Heading2"/>
      </w:pPr>
      <w:r>
        <w:t>6.1 Discovery before building</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ACTIVITY</w:t>
            </w:r>
          </w:p>
        </w:tc>
        <w:tc>
          <w:tcPr>
            <w:tcW w:type="dxa" w:w="4248"/>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SUGGESTED SAMPLE / OUTPUT</w:t>
            </w:r>
          </w:p>
        </w:tc>
        <w:tc>
          <w:tcPr>
            <w:tcW w:type="dxa" w:w="3312"/>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DECISION INFORMED</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5"/>
              </w:rPr>
              <w:t>User interviews</w:t>
            </w:r>
          </w:p>
        </w:tc>
        <w:tc>
          <w:tcPr>
            <w:tcW w:type="dxa" w:w="4248"/>
            <w:vAlign w:val="center"/>
            <w:tcMar>
              <w:top w:w="90" w:type="dxa"/>
              <w:start w:w="100" w:type="dxa"/>
              <w:bottom w:w="90" w:type="dxa"/>
              <w:end w:w="100" w:type="dxa"/>
            </w:tcMar>
          </w:tcPr>
          <w:p>
            <w:pPr>
              <w:spacing w:after="0" w:before="0" w:line="240" w:lineRule="auto"/>
            </w:pPr>
            <w:r/>
            <w:r>
              <w:rPr>
                <w:rFonts w:ascii="Aptos" w:hAnsi="Aptos"/>
                <w:b w:val="0"/>
                <w:color w:val="20302B"/>
                <w:sz w:val="15"/>
              </w:rPr>
              <w:t>10–15 beginner or aspiring composters; notes on actual past experience and failure points.</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5"/>
              </w:rPr>
              <w:t>Which problem is frequent and painful enough to prioritize?</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Competitive review</w:t>
            </w:r>
          </w:p>
        </w:tc>
        <w:tc>
          <w:tcPr>
            <w:tcW w:type="dxa" w:w="424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Review at least 3 existing tools / guides, including the features, audience, language, platform and gaps.</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What is genuinely different, if anything?</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5"/>
              </w:rPr>
              <w:t>Expert review</w:t>
            </w:r>
          </w:p>
        </w:tc>
        <w:tc>
          <w:tcPr>
            <w:tcW w:type="dxa" w:w="4248"/>
            <w:vAlign w:val="center"/>
            <w:tcMar>
              <w:top w:w="90" w:type="dxa"/>
              <w:start w:w="100" w:type="dxa"/>
              <w:bottom w:w="90" w:type="dxa"/>
              <w:end w:w="100" w:type="dxa"/>
            </w:tcMar>
          </w:tcPr>
          <w:p>
            <w:pPr>
              <w:spacing w:after="0" w:before="0" w:line="240" w:lineRule="auto"/>
            </w:pPr>
            <w:r/>
            <w:r>
              <w:rPr>
                <w:rFonts w:ascii="Aptos" w:hAnsi="Aptos"/>
                <w:b w:val="0"/>
                <w:color w:val="20302B"/>
                <w:sz w:val="15"/>
              </w:rPr>
              <w:t>One horticulture / composting reviewer checks the MVP rules and warning states.</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5"/>
              </w:rPr>
              <w:t>Which methods and materials are safe enough to support in v1?</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Prototype usability test</w:t>
            </w:r>
          </w:p>
        </w:tc>
        <w:tc>
          <w:tcPr>
            <w:tcW w:type="dxa" w:w="424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5–10 people complete setup and troubleshoot a mock case without coaching.</w:t>
            </w:r>
          </w:p>
        </w:tc>
        <w:tc>
          <w:tcPr>
            <w:tcW w:type="dxa" w:w="331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Are forms understandable? Do users act on results?</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5"/>
              </w:rPr>
              <w:t>Real batch pilot</w:t>
            </w:r>
          </w:p>
        </w:tc>
        <w:tc>
          <w:tcPr>
            <w:tcW w:type="dxa" w:w="4248"/>
            <w:vAlign w:val="center"/>
            <w:tcMar>
              <w:top w:w="90" w:type="dxa"/>
              <w:start w:w="100" w:type="dxa"/>
              <w:bottom w:w="90" w:type="dxa"/>
              <w:end w:w="100" w:type="dxa"/>
            </w:tcMar>
          </w:tcPr>
          <w:p>
            <w:pPr>
              <w:spacing w:after="0" w:before="0" w:line="240" w:lineRule="auto"/>
            </w:pPr>
            <w:r/>
            <w:r>
              <w:rPr>
                <w:rFonts w:ascii="Aptos" w:hAnsi="Aptos"/>
                <w:b w:val="0"/>
                <w:color w:val="20302B"/>
                <w:sz w:val="15"/>
              </w:rPr>
              <w:t>Aim for 3 or more batches with recorded input and recurring observations; continue beyond initial demo where needed.</w:t>
            </w:r>
          </w:p>
        </w:tc>
        <w:tc>
          <w:tcPr>
            <w:tcW w:type="dxa" w:w="3312"/>
            <w:vAlign w:val="center"/>
            <w:tcMar>
              <w:top w:w="90" w:type="dxa"/>
              <w:start w:w="100" w:type="dxa"/>
              <w:bottom w:w="90" w:type="dxa"/>
              <w:end w:w="100" w:type="dxa"/>
            </w:tcMar>
          </w:tcPr>
          <w:p>
            <w:pPr>
              <w:spacing w:after="0" w:before="0" w:line="240" w:lineRule="auto"/>
            </w:pPr>
            <w:r/>
            <w:r>
              <w:rPr>
                <w:rFonts w:ascii="Aptos" w:hAnsi="Aptos"/>
                <w:b w:val="0"/>
                <w:color w:val="20302B"/>
                <w:sz w:val="15"/>
              </w:rPr>
              <w:t>Do recommendations match conditions and outcomes over time?</w:t>
            </w:r>
          </w:p>
        </w:tc>
      </w:tr>
    </w:tbl>
    <w:p>
      <w:pPr>
        <w:spacing w:after="0"/>
      </w:pPr>
    </w:p>
    <w:p>
      <w:r>
        <w:rPr>
          <w:i/>
          <w:color w:val="9B4D3D"/>
        </w:rPr>
        <w:t>These are practical student-project starting targets, not statistically representative sample sizes. If discovery contradicts the premise, revise or stop the project rather than forcing the evidence to fit.</w:t>
      </w:r>
    </w:p>
    <w:p>
      <w:pPr>
        <w:pStyle w:val="Heading2"/>
      </w:pPr>
      <w:r>
        <w:t>6.2 Proposed pilot metrics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METRIC</w:t>
            </w:r>
          </w:p>
        </w:tc>
        <w:tc>
          <w:tcPr>
            <w:tcW w:type="dxa" w:w="4032"/>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PROPOSED TARGET / METHOD</w:t>
            </w:r>
          </w:p>
        </w:tc>
        <w:tc>
          <w:tcPr>
            <w:tcW w:type="dxa" w:w="3528"/>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IMPORTANT CAVEAT</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5"/>
              </w:rPr>
              <w:t>Task completion</w:t>
            </w:r>
          </w:p>
        </w:tc>
        <w:tc>
          <w:tcPr>
            <w:tcW w:type="dxa" w:w="4032"/>
            <w:vAlign w:val="center"/>
            <w:tcMar>
              <w:top w:w="90" w:type="dxa"/>
              <w:start w:w="100" w:type="dxa"/>
              <w:bottom w:w="90" w:type="dxa"/>
              <w:end w:w="100" w:type="dxa"/>
            </w:tcMar>
          </w:tcPr>
          <w:p>
            <w:pPr>
              <w:spacing w:after="0" w:before="0" w:line="240" w:lineRule="auto"/>
            </w:pPr>
            <w:r/>
            <w:r>
              <w:rPr>
                <w:rFonts w:ascii="Aptos" w:hAnsi="Aptos"/>
                <w:b w:val="0"/>
                <w:color w:val="20302B"/>
                <w:sz w:val="15"/>
              </w:rPr>
              <w:t>At least 8 of 10 test users complete a setup without help.</w:t>
            </w:r>
          </w:p>
        </w:tc>
        <w:tc>
          <w:tcPr>
            <w:tcW w:type="dxa" w:w="3528"/>
            <w:vAlign w:val="center"/>
            <w:tcMar>
              <w:top w:w="90" w:type="dxa"/>
              <w:start w:w="100" w:type="dxa"/>
              <w:bottom w:w="90" w:type="dxa"/>
              <w:end w:w="100" w:type="dxa"/>
            </w:tcMar>
          </w:tcPr>
          <w:p>
            <w:pPr>
              <w:spacing w:after="0" w:before="0" w:line="240" w:lineRule="auto"/>
            </w:pPr>
            <w:r/>
            <w:r>
              <w:rPr>
                <w:rFonts w:ascii="Aptos" w:hAnsi="Aptos"/>
                <w:b w:val="0"/>
                <w:color w:val="20302B"/>
                <w:sz w:val="15"/>
              </w:rPr>
              <w:t>A usability target, not proof of market demand.</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Rule review coverage</w:t>
            </w:r>
          </w:p>
        </w:tc>
        <w:tc>
          <w:tcPr>
            <w:tcW w:type="dxa" w:w="40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100% of safety-sensitive rules have a source or expert reviewer recorded.</w:t>
            </w:r>
          </w:p>
        </w:tc>
        <w:tc>
          <w:tcPr>
            <w:tcW w:type="dxa" w:w="35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Source coverage does not guarantee the rule is correct; review quality matters.</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5"/>
              </w:rPr>
              <w:t>Recommendation quality</w:t>
            </w:r>
          </w:p>
        </w:tc>
        <w:tc>
          <w:tcPr>
            <w:tcW w:type="dxa" w:w="4032"/>
            <w:vAlign w:val="center"/>
            <w:tcMar>
              <w:top w:w="90" w:type="dxa"/>
              <w:start w:w="100" w:type="dxa"/>
              <w:bottom w:w="90" w:type="dxa"/>
              <w:end w:w="100" w:type="dxa"/>
            </w:tcMar>
          </w:tcPr>
          <w:p>
            <w:pPr>
              <w:spacing w:after="0" w:before="0" w:line="240" w:lineRule="auto"/>
            </w:pPr>
            <w:r/>
            <w:r>
              <w:rPr>
                <w:rFonts w:ascii="Aptos" w:hAnsi="Aptos"/>
                <w:b w:val="0"/>
                <w:color w:val="20302B"/>
                <w:sz w:val="15"/>
              </w:rPr>
              <w:t>Reviewer checks a predefined set of representative and edge-case scenarios. Record pass / revise / fail.</w:t>
            </w:r>
          </w:p>
        </w:tc>
        <w:tc>
          <w:tcPr>
            <w:tcW w:type="dxa" w:w="3528"/>
            <w:vAlign w:val="center"/>
            <w:tcMar>
              <w:top w:w="90" w:type="dxa"/>
              <w:start w:w="100" w:type="dxa"/>
              <w:bottom w:w="90" w:type="dxa"/>
              <w:end w:w="100" w:type="dxa"/>
            </w:tcMar>
          </w:tcPr>
          <w:p>
            <w:pPr>
              <w:spacing w:after="0" w:before="0" w:line="240" w:lineRule="auto"/>
            </w:pPr>
            <w:r/>
            <w:r>
              <w:rPr>
                <w:rFonts w:ascii="Aptos" w:hAnsi="Aptos"/>
                <w:b w:val="0"/>
                <w:color w:val="20302B"/>
                <w:sz w:val="15"/>
              </w:rPr>
              <w:t>Do not cherry-pick only easy examples.</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Batch logging</w:t>
            </w:r>
          </w:p>
        </w:tc>
        <w:tc>
          <w:tcPr>
            <w:tcW w:type="dxa" w:w="40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At least 3 pilot batches have dated logs and documented interventions.</w:t>
            </w:r>
          </w:p>
        </w:tc>
        <w:tc>
          <w:tcPr>
            <w:tcW w:type="dxa" w:w="35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Maturity may take longer than the project demo period.</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5"/>
              </w:rPr>
              <w:t>Waste processed</w:t>
            </w:r>
          </w:p>
        </w:tc>
        <w:tc>
          <w:tcPr>
            <w:tcW w:type="dxa" w:w="4032"/>
            <w:vAlign w:val="center"/>
            <w:tcMar>
              <w:top w:w="90" w:type="dxa"/>
              <w:start w:w="100" w:type="dxa"/>
              <w:bottom w:w="90" w:type="dxa"/>
              <w:end w:w="100" w:type="dxa"/>
            </w:tcMar>
          </w:tcPr>
          <w:p>
            <w:pPr>
              <w:spacing w:after="0" w:before="0" w:line="240" w:lineRule="auto"/>
            </w:pPr>
            <w:r/>
            <w:r>
              <w:rPr>
                <w:rFonts w:ascii="Aptos" w:hAnsi="Aptos"/>
                <w:b w:val="0"/>
                <w:color w:val="20302B"/>
                <w:sz w:val="15"/>
              </w:rPr>
              <w:t>Record actual weighed input into a batch; show the measurement method.</w:t>
            </w:r>
          </w:p>
        </w:tc>
        <w:tc>
          <w:tcPr>
            <w:tcW w:type="dxa" w:w="3528"/>
            <w:vAlign w:val="center"/>
            <w:tcMar>
              <w:top w:w="90" w:type="dxa"/>
              <w:start w:w="100" w:type="dxa"/>
              <w:bottom w:w="90" w:type="dxa"/>
              <w:end w:w="100" w:type="dxa"/>
            </w:tcMar>
          </w:tcPr>
          <w:p>
            <w:pPr>
              <w:spacing w:after="0" w:before="0" w:line="240" w:lineRule="auto"/>
            </w:pPr>
            <w:r/>
            <w:r>
              <w:rPr>
                <w:rFonts w:ascii="Aptos" w:hAnsi="Aptos"/>
                <w:b w:val="0"/>
                <w:color w:val="20302B"/>
                <w:sz w:val="15"/>
              </w:rPr>
              <w:t>Do not claim all input became finished compost.</w:t>
            </w:r>
          </w:p>
        </w:tc>
      </w:tr>
      <w:tr>
        <w:trPr>
          <w:cantSplit/>
        </w:trPr>
        <w:tc>
          <w:tcPr>
            <w:tcW w:type="dxa" w:w="194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Troubleshooting utility</w:t>
            </w:r>
          </w:p>
        </w:tc>
        <w:tc>
          <w:tcPr>
            <w:tcW w:type="dxa" w:w="40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Track whether users understood and tried the recommendation, then record outcome.</w:t>
            </w:r>
          </w:p>
        </w:tc>
        <w:tc>
          <w:tcPr>
            <w:tcW w:type="dxa" w:w="352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User-reported improvement is not laboratory proof.</w:t>
            </w:r>
          </w:p>
        </w:tc>
      </w:tr>
      <w:tr>
        <w:trPr>
          <w:cantSplit/>
        </w:trPr>
        <w:tc>
          <w:tcPr>
            <w:tcW w:type="dxa" w:w="1944"/>
            <w:vAlign w:val="center"/>
            <w:tcMar>
              <w:top w:w="90" w:type="dxa"/>
              <w:start w:w="100" w:type="dxa"/>
              <w:bottom w:w="90" w:type="dxa"/>
              <w:end w:w="100" w:type="dxa"/>
            </w:tcMar>
          </w:tcPr>
          <w:p>
            <w:pPr>
              <w:spacing w:after="0" w:before="0" w:line="240" w:lineRule="auto"/>
            </w:pPr>
            <w:r/>
            <w:r>
              <w:rPr>
                <w:rFonts w:ascii="Aptos" w:hAnsi="Aptos"/>
                <w:b w:val="0"/>
                <w:color w:val="20302B"/>
                <w:sz w:val="15"/>
              </w:rPr>
              <w:t>Demand signal</w:t>
            </w:r>
          </w:p>
        </w:tc>
        <w:tc>
          <w:tcPr>
            <w:tcW w:type="dxa" w:w="4032"/>
            <w:vAlign w:val="center"/>
            <w:tcMar>
              <w:top w:w="90" w:type="dxa"/>
              <w:start w:w="100" w:type="dxa"/>
              <w:bottom w:w="90" w:type="dxa"/>
              <w:end w:w="100" w:type="dxa"/>
            </w:tcMar>
          </w:tcPr>
          <w:p>
            <w:pPr>
              <w:spacing w:after="0" w:before="0" w:line="240" w:lineRule="auto"/>
            </w:pPr>
            <w:r/>
            <w:r>
              <w:rPr>
                <w:rFonts w:ascii="Aptos" w:hAnsi="Aptos"/>
                <w:b w:val="0"/>
                <w:color w:val="20302B"/>
                <w:sz w:val="15"/>
              </w:rPr>
              <w:t>At least 5 target users agree to test the product and give follow-up feedback.</w:t>
            </w:r>
          </w:p>
        </w:tc>
        <w:tc>
          <w:tcPr>
            <w:tcW w:type="dxa" w:w="3528"/>
            <w:vAlign w:val="center"/>
            <w:tcMar>
              <w:top w:w="90" w:type="dxa"/>
              <w:start w:w="100" w:type="dxa"/>
              <w:bottom w:w="90" w:type="dxa"/>
              <w:end w:w="100" w:type="dxa"/>
            </w:tcMar>
          </w:tcPr>
          <w:p>
            <w:pPr>
              <w:spacing w:after="0" w:before="0" w:line="240" w:lineRule="auto"/>
            </w:pPr>
            <w:r/>
            <w:r>
              <w:rPr>
                <w:rFonts w:ascii="Aptos" w:hAnsi="Aptos"/>
                <w:b w:val="0"/>
                <w:color w:val="20302B"/>
                <w:sz w:val="15"/>
              </w:rPr>
              <w:t>Interest is not the same as repeat use or willingness to pay.</w:t>
            </w:r>
          </w:p>
        </w:tc>
      </w:tr>
    </w:tbl>
    <w:p>
      <w:pPr>
        <w:spacing w:after="0"/>
      </w:pPr>
    </w:p>
    <w:p>
      <w:pPr>
        <w:pStyle w:val="Heading2"/>
      </w:pPr>
      <w:r>
        <w:t>6.3 Pilot log fields</w:t>
      </w:r>
    </w:p>
    <w:p>
      <w:pPr>
        <w:pStyle w:val="ListBullet"/>
        <w:spacing w:after="40"/>
        <w:ind w:left="346" w:hanging="216"/>
      </w:pPr>
      <w:r>
        <w:t>Batch ID, method, container dimensions and material, start date and source of setup guidance.</w:t>
      </w:r>
    </w:p>
    <w:p>
      <w:pPr>
        <w:pStyle w:val="ListBullet"/>
        <w:spacing w:after="40"/>
        <w:ind w:left="346" w:hanging="216"/>
      </w:pPr>
      <w:r>
        <w:t>Mass of each added waste category where practical; otherwise clearly label the quantity as estimated.</w:t>
      </w:r>
    </w:p>
    <w:p>
      <w:pPr>
        <w:pStyle w:val="ListBullet"/>
        <w:spacing w:after="40"/>
        <w:ind w:left="346" w:hanging="216"/>
      </w:pPr>
      <w:r>
        <w:t>Date, moisture observation, odour, pests, temperature if measured, turning / mixing and action taken.</w:t>
      </w:r>
    </w:p>
    <w:p>
      <w:pPr>
        <w:pStyle w:val="ListBullet"/>
        <w:spacing w:after="40"/>
        <w:ind w:left="346" w:hanging="216"/>
      </w:pPr>
      <w:r>
        <w:t>Unexpected conditions, user feedback, changes from the plan, and what the recommendation should have said.</w:t>
      </w:r>
    </w:p>
    <w:p>
      <w:pPr>
        <w:pStyle w:val="ListBullet"/>
        <w:spacing w:after="40"/>
        <w:ind w:left="346" w:hanging="216"/>
      </w:pPr>
      <w:r>
        <w:t>Maturity checklist result and reviewer / user confirmation; do not infer maturity solely from a timer.</w:t>
      </w:r>
    </w:p>
    <w:p>
      <w:pPr>
        <w:pStyle w:val="Heading1"/>
      </w:pPr>
      <w:r>
        <w:t>7. Risks, dependencies and roadmap</w:t>
      </w:r>
    </w:p>
    <w:p>
      <w:pPr>
        <w:pStyle w:val="Heading2"/>
      </w:pPr>
      <w:r>
        <w:t>7.1 Main risks and mitigations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376"/>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RISK</w:t>
            </w:r>
          </w:p>
        </w:tc>
        <w:tc>
          <w:tcPr>
            <w:tcW w:type="dxa" w:w="1080"/>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SEVERITY</w:t>
            </w:r>
          </w:p>
        </w:tc>
        <w:tc>
          <w:tcPr>
            <w:tcW w:type="dxa" w:w="6048"/>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MITIGATION</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5"/>
              </w:rPr>
              <w:t>No meaningful unmet need</w:t>
            </w:r>
          </w:p>
        </w:tc>
        <w:tc>
          <w:tcPr>
            <w:tcW w:type="dxa" w:w="1080"/>
            <w:vAlign w:val="center"/>
            <w:tcMar>
              <w:top w:w="90" w:type="dxa"/>
              <w:start w:w="100" w:type="dxa"/>
              <w:bottom w:w="90" w:type="dxa"/>
              <w:end w:w="100" w:type="dxa"/>
            </w:tcMar>
          </w:tcPr>
          <w:p>
            <w:pPr>
              <w:spacing w:after="0" w:before="0" w:line="240" w:lineRule="auto"/>
            </w:pPr>
            <w:r/>
            <w:r>
              <w:rPr>
                <w:rFonts w:ascii="Aptos" w:hAnsi="Aptos"/>
                <w:b w:val="0"/>
                <w:color w:val="20302B"/>
                <w:sz w:val="15"/>
              </w:rPr>
              <w:t>High</w:t>
            </w:r>
          </w:p>
        </w:tc>
        <w:tc>
          <w:tcPr>
            <w:tcW w:type="dxa" w:w="6048"/>
            <w:vAlign w:val="center"/>
            <w:tcMar>
              <w:top w:w="90" w:type="dxa"/>
              <w:start w:w="100" w:type="dxa"/>
              <w:bottom w:w="90" w:type="dxa"/>
              <w:end w:w="100" w:type="dxa"/>
            </w:tcMar>
          </w:tcPr>
          <w:p>
            <w:pPr>
              <w:spacing w:after="0" w:before="0" w:line="240" w:lineRule="auto"/>
            </w:pPr>
            <w:r/>
            <w:r>
              <w:rPr>
                <w:rFonts w:ascii="Aptos" w:hAnsi="Aptos"/>
                <w:b w:val="0"/>
                <w:color w:val="20302B"/>
                <w:sz w:val="15"/>
              </w:rPr>
              <w:t>Conduct discovery first. If people already solve the problem easily, narrow the target or pivot.</w:t>
            </w:r>
          </w:p>
        </w:tc>
      </w:tr>
      <w:tr>
        <w:trPr>
          <w:cantSplit/>
        </w:trPr>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Generic / weak differentiation</w:t>
            </w:r>
          </w:p>
        </w:tc>
        <w:tc>
          <w:tcPr>
            <w:tcW w:type="dxa" w:w="108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High</w:t>
            </w:r>
          </w:p>
        </w:tc>
        <w:tc>
          <w:tcPr>
            <w:tcW w:type="dxa" w:w="604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Use competitor analysis and user evidence; position local space constraints and verified feedback as hypotheses, not proven novelty.</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5"/>
              </w:rPr>
              <w:t>Unsafe or overconfident advice</w:t>
            </w:r>
          </w:p>
        </w:tc>
        <w:tc>
          <w:tcPr>
            <w:tcW w:type="dxa" w:w="1080"/>
            <w:vAlign w:val="center"/>
            <w:tcMar>
              <w:top w:w="90" w:type="dxa"/>
              <w:start w:w="100" w:type="dxa"/>
              <w:bottom w:w="90" w:type="dxa"/>
              <w:end w:w="100" w:type="dxa"/>
            </w:tcMar>
          </w:tcPr>
          <w:p>
            <w:pPr>
              <w:spacing w:after="0" w:before="0" w:line="240" w:lineRule="auto"/>
            </w:pPr>
            <w:r/>
            <w:r>
              <w:rPr>
                <w:rFonts w:ascii="Aptos" w:hAnsi="Aptos"/>
                <w:b w:val="0"/>
                <w:color w:val="20302B"/>
                <w:sz w:val="15"/>
              </w:rPr>
              <w:t>High</w:t>
            </w:r>
          </w:p>
        </w:tc>
        <w:tc>
          <w:tcPr>
            <w:tcW w:type="dxa" w:w="6048"/>
            <w:vAlign w:val="center"/>
            <w:tcMar>
              <w:top w:w="90" w:type="dxa"/>
              <w:start w:w="100" w:type="dxa"/>
              <w:bottom w:w="90" w:type="dxa"/>
              <w:end w:w="100" w:type="dxa"/>
            </w:tcMar>
          </w:tcPr>
          <w:p>
            <w:pPr>
              <w:spacing w:after="0" w:before="0" w:line="240" w:lineRule="auto"/>
            </w:pPr>
            <w:r/>
            <w:r>
              <w:rPr>
                <w:rFonts w:ascii="Aptos" w:hAnsi="Aptos"/>
                <w:b w:val="0"/>
                <w:color w:val="20302B"/>
                <w:sz w:val="15"/>
              </w:rPr>
              <w:t>Expert-reviewed rules, source links, conservative stop conditions, no “certified safe” claim, and an explicit unknown state.</w:t>
            </w:r>
          </w:p>
        </w:tc>
      </w:tr>
      <w:tr>
        <w:trPr>
          <w:cantSplit/>
        </w:trPr>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False compost-ready prediction</w:t>
            </w:r>
          </w:p>
        </w:tc>
        <w:tc>
          <w:tcPr>
            <w:tcW w:type="dxa" w:w="108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High</w:t>
            </w:r>
          </w:p>
        </w:tc>
        <w:tc>
          <w:tcPr>
            <w:tcW w:type="dxa" w:w="604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Show a range only where justified; require observed maturity checks and log predicted vs observed results.</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5"/>
              </w:rPr>
              <w:t>Users abandon tracking</w:t>
            </w:r>
          </w:p>
        </w:tc>
        <w:tc>
          <w:tcPr>
            <w:tcW w:type="dxa" w:w="1080"/>
            <w:vAlign w:val="center"/>
            <w:tcMar>
              <w:top w:w="90" w:type="dxa"/>
              <w:start w:w="100" w:type="dxa"/>
              <w:bottom w:w="90" w:type="dxa"/>
              <w:end w:w="100" w:type="dxa"/>
            </w:tcMar>
          </w:tcPr>
          <w:p>
            <w:pPr>
              <w:spacing w:after="0" w:before="0" w:line="240" w:lineRule="auto"/>
            </w:pPr>
            <w:r/>
            <w:r>
              <w:rPr>
                <w:rFonts w:ascii="Aptos" w:hAnsi="Aptos"/>
                <w:b w:val="0"/>
                <w:color w:val="20302B"/>
                <w:sz w:val="15"/>
              </w:rPr>
              <w:t>Medium</w:t>
            </w:r>
          </w:p>
        </w:tc>
        <w:tc>
          <w:tcPr>
            <w:tcW w:type="dxa" w:w="6048"/>
            <w:vAlign w:val="center"/>
            <w:tcMar>
              <w:top w:w="90" w:type="dxa"/>
              <w:start w:w="100" w:type="dxa"/>
              <w:bottom w:w="90" w:type="dxa"/>
              <w:end w:w="100" w:type="dxa"/>
            </w:tcMar>
          </w:tcPr>
          <w:p>
            <w:pPr>
              <w:spacing w:after="0" w:before="0" w:line="240" w:lineRule="auto"/>
            </w:pPr>
            <w:r/>
            <w:r>
              <w:rPr>
                <w:rFonts w:ascii="Aptos" w:hAnsi="Aptos"/>
                <w:b w:val="0"/>
                <w:color w:val="20302B"/>
                <w:sz w:val="15"/>
              </w:rPr>
              <w:t>Keep each log short; ask only observations that affect advice; test reminder preference before adding notifications.</w:t>
            </w:r>
          </w:p>
        </w:tc>
      </w:tr>
      <w:tr>
        <w:trPr>
          <w:cantSplit/>
        </w:trPr>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Scope creep</w:t>
            </w:r>
          </w:p>
        </w:tc>
        <w:tc>
          <w:tcPr>
            <w:tcW w:type="dxa" w:w="108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High</w:t>
            </w:r>
          </w:p>
        </w:tc>
        <w:tc>
          <w:tcPr>
            <w:tcW w:type="dxa" w:w="604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Freeze MVP modules; defer marketplace, payments, broad plant library, AI image diagnosis and IoT.</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5"/>
              </w:rPr>
              <w:t>Inconsistent user measurements</w:t>
            </w:r>
          </w:p>
        </w:tc>
        <w:tc>
          <w:tcPr>
            <w:tcW w:type="dxa" w:w="1080"/>
            <w:vAlign w:val="center"/>
            <w:tcMar>
              <w:top w:w="90" w:type="dxa"/>
              <w:start w:w="100" w:type="dxa"/>
              <w:bottom w:w="90" w:type="dxa"/>
              <w:end w:w="100" w:type="dxa"/>
            </w:tcMar>
          </w:tcPr>
          <w:p>
            <w:pPr>
              <w:spacing w:after="0" w:before="0" w:line="240" w:lineRule="auto"/>
            </w:pPr>
            <w:r/>
            <w:r>
              <w:rPr>
                <w:rFonts w:ascii="Aptos" w:hAnsi="Aptos"/>
                <w:b w:val="0"/>
                <w:color w:val="20302B"/>
                <w:sz w:val="15"/>
              </w:rPr>
              <w:t>Medium</w:t>
            </w:r>
          </w:p>
        </w:tc>
        <w:tc>
          <w:tcPr>
            <w:tcW w:type="dxa" w:w="6048"/>
            <w:vAlign w:val="center"/>
            <w:tcMar>
              <w:top w:w="90" w:type="dxa"/>
              <w:start w:w="100" w:type="dxa"/>
              <w:bottom w:w="90" w:type="dxa"/>
              <w:end w:w="100" w:type="dxa"/>
            </w:tcMar>
          </w:tcPr>
          <w:p>
            <w:pPr>
              <w:spacing w:after="0" w:before="0" w:line="240" w:lineRule="auto"/>
            </w:pPr>
            <w:r/>
            <w:r>
              <w:rPr>
                <w:rFonts w:ascii="Aptos" w:hAnsi="Aptos"/>
                <w:b w:val="0"/>
                <w:color w:val="20302B"/>
                <w:sz w:val="15"/>
              </w:rPr>
              <w:t>Provide unit guidance and examples; separate measured, estimated and unknown values.</w:t>
            </w:r>
          </w:p>
        </w:tc>
      </w:tr>
      <w:tr>
        <w:trPr>
          <w:cantSplit/>
        </w:trPr>
        <w:tc>
          <w:tcPr>
            <w:tcW w:type="dxa" w:w="2376"/>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Environmental impact overstated</w:t>
            </w:r>
          </w:p>
        </w:tc>
        <w:tc>
          <w:tcPr>
            <w:tcW w:type="dxa" w:w="108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High</w:t>
            </w:r>
          </w:p>
        </w:tc>
        <w:tc>
          <w:tcPr>
            <w:tcW w:type="dxa" w:w="6048"/>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Report measured input and documented outcomes; avoid unsupported CO2 / savings conversions.</w:t>
            </w:r>
          </w:p>
        </w:tc>
      </w:tr>
      <w:tr>
        <w:trPr>
          <w:cantSplit/>
        </w:trPr>
        <w:tc>
          <w:tcPr>
            <w:tcW w:type="dxa" w:w="2376"/>
            <w:vAlign w:val="center"/>
            <w:tcMar>
              <w:top w:w="90" w:type="dxa"/>
              <w:start w:w="100" w:type="dxa"/>
              <w:bottom w:w="90" w:type="dxa"/>
              <w:end w:w="100" w:type="dxa"/>
            </w:tcMar>
          </w:tcPr>
          <w:p>
            <w:pPr>
              <w:spacing w:after="0" w:before="0" w:line="240" w:lineRule="auto"/>
            </w:pPr>
            <w:r/>
            <w:r>
              <w:rPr>
                <w:rFonts w:ascii="Aptos" w:hAnsi="Aptos"/>
                <w:b w:val="0"/>
                <w:color w:val="20302B"/>
                <w:sz w:val="15"/>
              </w:rPr>
              <w:t>Data privacy issue</w:t>
            </w:r>
          </w:p>
        </w:tc>
        <w:tc>
          <w:tcPr>
            <w:tcW w:type="dxa" w:w="1080"/>
            <w:vAlign w:val="center"/>
            <w:tcMar>
              <w:top w:w="90" w:type="dxa"/>
              <w:start w:w="100" w:type="dxa"/>
              <w:bottom w:w="90" w:type="dxa"/>
              <w:end w:w="100" w:type="dxa"/>
            </w:tcMar>
          </w:tcPr>
          <w:p>
            <w:pPr>
              <w:spacing w:after="0" w:before="0" w:line="240" w:lineRule="auto"/>
            </w:pPr>
            <w:r/>
            <w:r>
              <w:rPr>
                <w:rFonts w:ascii="Aptos" w:hAnsi="Aptos"/>
                <w:b w:val="0"/>
                <w:color w:val="20302B"/>
                <w:sz w:val="15"/>
              </w:rPr>
              <w:t>Medium</w:t>
            </w:r>
          </w:p>
        </w:tc>
        <w:tc>
          <w:tcPr>
            <w:tcW w:type="dxa" w:w="6048"/>
            <w:vAlign w:val="center"/>
            <w:tcMar>
              <w:top w:w="90" w:type="dxa"/>
              <w:start w:w="100" w:type="dxa"/>
              <w:bottom w:w="90" w:type="dxa"/>
              <w:end w:w="100" w:type="dxa"/>
            </w:tcMar>
          </w:tcPr>
          <w:p>
            <w:pPr>
              <w:spacing w:after="0" w:before="0" w:line="240" w:lineRule="auto"/>
            </w:pPr>
            <w:r/>
            <w:r>
              <w:rPr>
                <w:rFonts w:ascii="Aptos" w:hAnsi="Aptos"/>
                <w:b w:val="0"/>
                <w:color w:val="20302B"/>
                <w:sz w:val="15"/>
              </w:rPr>
              <w:t>Avoid precise addresses; optional photos; explicit consent; restrict pilot logs; provide deletion process.</w:t>
            </w:r>
          </w:p>
        </w:tc>
      </w:tr>
    </w:tbl>
    <w:p>
      <w:pPr>
        <w:spacing w:after="0"/>
      </w:pPr>
    </w:p>
    <w:p>
      <w:pPr>
        <w:pStyle w:val="Heading2"/>
      </w:pPr>
      <w:r>
        <w:t>7.2 Roadmap (indicative)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PHASE</w:t>
            </w:r>
          </w:p>
        </w:tc>
        <w:tc>
          <w:tcPr>
            <w:tcW w:type="dxa" w:w="4464"/>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WORK</w:t>
            </w:r>
          </w:p>
        </w:tc>
        <w:tc>
          <w:tcPr>
            <w:tcW w:type="dxa" w:w="3240"/>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EXIT CRITERION</w:t>
            </w:r>
          </w:p>
        </w:tc>
      </w:tr>
      <w:tr>
        <w:trPr>
          <w:cantSplit/>
        </w:trPr>
        <w:tc>
          <w:tcPr>
            <w:tcW w:type="dxa" w:w="1800"/>
            <w:vAlign w:val="center"/>
            <w:tcMar>
              <w:top w:w="90" w:type="dxa"/>
              <w:start w:w="100" w:type="dxa"/>
              <w:bottom w:w="90" w:type="dxa"/>
              <w:end w:w="100" w:type="dxa"/>
            </w:tcMar>
          </w:tcPr>
          <w:p>
            <w:pPr>
              <w:spacing w:after="0" w:before="0" w:line="240" w:lineRule="auto"/>
            </w:pPr>
            <w:r/>
            <w:r>
              <w:rPr>
                <w:rFonts w:ascii="Aptos" w:hAnsi="Aptos"/>
                <w:b w:val="0"/>
                <w:color w:val="20302B"/>
                <w:sz w:val="15"/>
              </w:rPr>
              <w:t>0. Discover (Week 1)</w:t>
            </w:r>
          </w:p>
        </w:tc>
        <w:tc>
          <w:tcPr>
            <w:tcW w:type="dxa" w:w="4464"/>
            <w:vAlign w:val="center"/>
            <w:tcMar>
              <w:top w:w="90" w:type="dxa"/>
              <w:start w:w="100" w:type="dxa"/>
              <w:bottom w:w="90" w:type="dxa"/>
              <w:end w:w="100" w:type="dxa"/>
            </w:tcMar>
          </w:tcPr>
          <w:p>
            <w:pPr>
              <w:spacing w:after="0" w:before="0" w:line="240" w:lineRule="auto"/>
            </w:pPr>
            <w:r/>
            <w:r>
              <w:rPr>
                <w:rFonts w:ascii="Aptos" w:hAnsi="Aptos"/>
                <w:b w:val="0"/>
                <w:color w:val="20302B"/>
                <w:sz w:val="15"/>
              </w:rPr>
              <w:t>Interviews, current-process mapping, competitor scan, identify reviewer.</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5"/>
              </w:rPr>
              <w:t>One specific user problem and a decision to proceed / revise.</w:t>
            </w:r>
          </w:p>
        </w:tc>
      </w:tr>
      <w:tr>
        <w:trPr>
          <w:cantSplit/>
        </w:trPr>
        <w:tc>
          <w:tcPr>
            <w:tcW w:type="dxa" w:w="180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1. Specify (Week 2)</w:t>
            </w:r>
          </w:p>
        </w:tc>
        <w:tc>
          <w:tcPr>
            <w:tcW w:type="dxa" w:w="446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Reviewed rules, supported methods/materials, wireframes, acceptance tests.</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No unresolved critical safety logic; core flow documented.</w:t>
            </w:r>
          </w:p>
        </w:tc>
      </w:tr>
      <w:tr>
        <w:trPr>
          <w:cantSplit/>
        </w:trPr>
        <w:tc>
          <w:tcPr>
            <w:tcW w:type="dxa" w:w="1800"/>
            <w:vAlign w:val="center"/>
            <w:tcMar>
              <w:top w:w="90" w:type="dxa"/>
              <w:start w:w="100" w:type="dxa"/>
              <w:bottom w:w="90" w:type="dxa"/>
              <w:end w:w="100" w:type="dxa"/>
            </w:tcMar>
          </w:tcPr>
          <w:p>
            <w:pPr>
              <w:spacing w:after="0" w:before="0" w:line="240" w:lineRule="auto"/>
            </w:pPr>
            <w:r/>
            <w:r>
              <w:rPr>
                <w:rFonts w:ascii="Aptos" w:hAnsi="Aptos"/>
                <w:b w:val="0"/>
                <w:color w:val="20302B"/>
                <w:sz w:val="15"/>
              </w:rPr>
              <w:t>2. Build (Weeks 3–4)</w:t>
            </w:r>
          </w:p>
        </w:tc>
        <w:tc>
          <w:tcPr>
            <w:tcW w:type="dxa" w:w="4464"/>
            <w:vAlign w:val="center"/>
            <w:tcMar>
              <w:top w:w="90" w:type="dxa"/>
              <w:start w:w="100" w:type="dxa"/>
              <w:bottom w:w="90" w:type="dxa"/>
              <w:end w:w="100" w:type="dxa"/>
            </w:tcMar>
          </w:tcPr>
          <w:p>
            <w:pPr>
              <w:spacing w:after="0" w:before="0" w:line="240" w:lineRule="auto"/>
            </w:pPr>
            <w:r/>
            <w:r>
              <w:rPr>
                <w:rFonts w:ascii="Aptos" w:hAnsi="Aptos"/>
                <w:b w:val="0"/>
                <w:color w:val="20302B"/>
                <w:sz w:val="15"/>
              </w:rPr>
              <w:t>ContainerCheck, planner, batch log, troubleshooter, source view.</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5"/>
              </w:rPr>
              <w:t>End-to-end flow passes test cases on mobile and desktop.</w:t>
            </w:r>
          </w:p>
        </w:tc>
      </w:tr>
      <w:tr>
        <w:trPr>
          <w:cantSplit/>
        </w:trPr>
        <w:tc>
          <w:tcPr>
            <w:tcW w:type="dxa" w:w="180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3. Pilot (Weeks 5–6+ )</w:t>
            </w:r>
          </w:p>
        </w:tc>
        <w:tc>
          <w:tcPr>
            <w:tcW w:type="dxa" w:w="446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Usability test and real batches; collect observations and feedback.</w:t>
            </w:r>
          </w:p>
        </w:tc>
        <w:tc>
          <w:tcPr>
            <w:tcW w:type="dxa" w:w="324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Evidence summary, rule revisions and honest limitation list.</w:t>
            </w:r>
          </w:p>
        </w:tc>
      </w:tr>
      <w:tr>
        <w:trPr>
          <w:cantSplit/>
        </w:trPr>
        <w:tc>
          <w:tcPr>
            <w:tcW w:type="dxa" w:w="1800"/>
            <w:vAlign w:val="center"/>
            <w:tcMar>
              <w:top w:w="90" w:type="dxa"/>
              <w:start w:w="100" w:type="dxa"/>
              <w:bottom w:w="90" w:type="dxa"/>
              <w:end w:w="100" w:type="dxa"/>
            </w:tcMar>
          </w:tcPr>
          <w:p>
            <w:pPr>
              <w:spacing w:after="0" w:before="0" w:line="240" w:lineRule="auto"/>
            </w:pPr>
            <w:r/>
            <w:r>
              <w:rPr>
                <w:rFonts w:ascii="Aptos" w:hAnsi="Aptos"/>
                <w:b w:val="0"/>
                <w:color w:val="20302B"/>
                <w:sz w:val="15"/>
              </w:rPr>
              <w:t>4. Extend (after pilot)</w:t>
            </w:r>
          </w:p>
        </w:tc>
        <w:tc>
          <w:tcPr>
            <w:tcW w:type="dxa" w:w="4464"/>
            <w:vAlign w:val="center"/>
            <w:tcMar>
              <w:top w:w="90" w:type="dxa"/>
              <w:start w:w="100" w:type="dxa"/>
              <w:bottom w:w="90" w:type="dxa"/>
              <w:end w:w="100" w:type="dxa"/>
            </w:tcMar>
          </w:tcPr>
          <w:p>
            <w:pPr>
              <w:spacing w:after="0" w:before="0" w:line="240" w:lineRule="auto"/>
            </w:pPr>
            <w:r/>
            <w:r>
              <w:rPr>
                <w:rFonts w:ascii="Aptos" w:hAnsi="Aptos"/>
                <w:b w:val="0"/>
                <w:color w:val="20302B"/>
                <w:sz w:val="15"/>
              </w:rPr>
              <w:t>Consider improved plant guides, reminders, local language, or seed links based on demand.</w:t>
            </w:r>
          </w:p>
        </w:tc>
        <w:tc>
          <w:tcPr>
            <w:tcW w:type="dxa" w:w="3240"/>
            <w:vAlign w:val="center"/>
            <w:tcMar>
              <w:top w:w="90" w:type="dxa"/>
              <w:start w:w="100" w:type="dxa"/>
              <w:bottom w:w="90" w:type="dxa"/>
              <w:end w:w="100" w:type="dxa"/>
            </w:tcMar>
          </w:tcPr>
          <w:p>
            <w:pPr>
              <w:spacing w:after="0" w:before="0" w:line="240" w:lineRule="auto"/>
            </w:pPr>
            <w:r/>
            <w:r>
              <w:rPr>
                <w:rFonts w:ascii="Aptos" w:hAnsi="Aptos"/>
                <w:b w:val="0"/>
                <w:color w:val="20302B"/>
                <w:sz w:val="15"/>
              </w:rPr>
              <w:t>Each new feature is justified by evidence, not enthusiasm.</w:t>
            </w:r>
          </w:p>
        </w:tc>
      </w:tr>
    </w:tbl>
    <w:p>
      <w:pPr>
        <w:spacing w:after="0"/>
      </w:pPr>
    </w:p>
    <w:p>
      <w:pPr>
        <w:pStyle w:val="Heading2"/>
      </w:pPr>
      <w:r>
        <w:t>7.3 Release / demo acceptance checklist</w:t>
      </w:r>
    </w:p>
    <w:p>
      <w:pPr>
        <w:pStyle w:val="ListBullet"/>
        <w:spacing w:after="40"/>
        <w:ind w:left="346" w:hanging="216"/>
      </w:pPr>
      <w:r>
        <w:t>A user can enter actual dimensions and see the geometric-volume calculation with units.</w:t>
      </w:r>
    </w:p>
    <w:p>
      <w:pPr>
        <w:pStyle w:val="ListBullet"/>
        <w:spacing w:after="40"/>
        <w:ind w:left="346" w:hanging="216"/>
      </w:pPr>
      <w:r>
        <w:t>A container with hazardous / unknown prior use is not casually marked safe.</w:t>
      </w:r>
    </w:p>
    <w:p>
      <w:pPr>
        <w:pStyle w:val="ListBullet"/>
        <w:spacing w:after="40"/>
        <w:ind w:left="346" w:hanging="216"/>
      </w:pPr>
      <w:r>
        <w:t>A user can receive a rule-based method recommendation or an explicit “more information needed” result.</w:t>
      </w:r>
    </w:p>
    <w:p>
      <w:pPr>
        <w:pStyle w:val="ListBullet"/>
        <w:spacing w:after="40"/>
        <w:ind w:left="346" w:hanging="216"/>
      </w:pPr>
      <w:r>
        <w:t>Every safety-sensitive recommendation displays its rationale and source / reviewer metadata.</w:t>
      </w:r>
    </w:p>
    <w:p>
      <w:pPr>
        <w:pStyle w:val="ListBullet"/>
        <w:spacing w:after="40"/>
        <w:ind w:left="346" w:hanging="216"/>
      </w:pPr>
      <w:r>
        <w:t>A batch can be logged repeatedly; unknown data remains unknown rather than becoming a fake number.</w:t>
      </w:r>
    </w:p>
    <w:p>
      <w:pPr>
        <w:pStyle w:val="ListBullet"/>
        <w:spacing w:after="40"/>
        <w:ind w:left="346" w:hanging="216"/>
      </w:pPr>
      <w:r>
        <w:t>A troubleshooting case produces conditional advice and a follow-up action.</w:t>
      </w:r>
    </w:p>
    <w:p>
      <w:pPr>
        <w:pStyle w:val="ListBullet"/>
        <w:spacing w:after="40"/>
        <w:ind w:left="346" w:hanging="216"/>
      </w:pPr>
      <w:r>
        <w:t>The UI distinguishes estimate, measurement and user confirmation.</w:t>
      </w:r>
    </w:p>
    <w:p>
      <w:pPr>
        <w:pStyle w:val="ListBullet"/>
        <w:spacing w:after="40"/>
        <w:ind w:left="346" w:hanging="216"/>
      </w:pPr>
      <w:r>
        <w:t>The demo reports at least one limitation or failed test and explains how the product was changed.</w:t>
      </w:r>
    </w:p>
    <w:p>
      <w:pPr>
        <w:pStyle w:val="Heading1"/>
      </w:pPr>
      <w:r>
        <w:t>8. Open decisions, glossary and references</w:t>
      </w:r>
    </w:p>
    <w:p>
      <w:pPr>
        <w:pStyle w:val="Heading2"/>
      </w:pPr>
      <w:r>
        <w:t>8.1 Decisions that remain open</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880"/>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QUESTION</w:t>
            </w:r>
          </w:p>
        </w:tc>
        <w:tc>
          <w:tcPr>
            <w:tcW w:type="dxa" w:w="6624"/>
            <w:vAlign w:val="center"/>
            <w:tcMar>
              <w:top w:w="90" w:type="dxa"/>
              <w:start w:w="100" w:type="dxa"/>
              <w:bottom w:w="90" w:type="dxa"/>
              <w:end w:w="100" w:type="dxa"/>
            </w:tcMar>
            <w:shd w:fill="183B32"/>
          </w:tcPr>
          <w:p>
            <w:pPr>
              <w:spacing w:after="0" w:before="0" w:line="240" w:lineRule="auto"/>
            </w:pPr>
            <w:r/>
            <w:r>
              <w:rPr>
                <w:rFonts w:ascii="Aptos" w:hAnsi="Aptos"/>
                <w:b/>
                <w:color w:val="FFFFFF"/>
                <w:sz w:val="15"/>
              </w:rPr>
              <w:t>RECOMMENDED DEFAULT FOR V1</w:t>
            </w:r>
          </w:p>
        </w:tc>
      </w:tr>
      <w:tr>
        <w:trPr>
          <w:cantSplit/>
        </w:trPr>
        <w:tc>
          <w:tcPr>
            <w:tcW w:type="dxa" w:w="2880"/>
            <w:vAlign w:val="center"/>
            <w:tcMar>
              <w:top w:w="90" w:type="dxa"/>
              <w:start w:w="100" w:type="dxa"/>
              <w:bottom w:w="90" w:type="dxa"/>
              <w:end w:w="100" w:type="dxa"/>
            </w:tcMar>
          </w:tcPr>
          <w:p>
            <w:pPr>
              <w:spacing w:after="0" w:before="0" w:line="240" w:lineRule="auto"/>
            </w:pPr>
            <w:r/>
            <w:r>
              <w:rPr>
                <w:rFonts w:ascii="Aptos" w:hAnsi="Aptos"/>
                <w:b w:val="0"/>
                <w:color w:val="20302B"/>
                <w:sz w:val="15"/>
              </w:rPr>
              <w:t>Who is the primary user?</w:t>
            </w:r>
          </w:p>
        </w:tc>
        <w:tc>
          <w:tcPr>
            <w:tcW w:type="dxa" w:w="6624"/>
            <w:vAlign w:val="center"/>
            <w:tcMar>
              <w:top w:w="90" w:type="dxa"/>
              <w:start w:w="100" w:type="dxa"/>
              <w:bottom w:w="90" w:type="dxa"/>
              <w:end w:w="100" w:type="dxa"/>
            </w:tcMar>
          </w:tcPr>
          <w:p>
            <w:pPr>
              <w:spacing w:after="0" w:before="0" w:line="240" w:lineRule="auto"/>
            </w:pPr>
            <w:r/>
            <w:r>
              <w:rPr>
                <w:rFonts w:ascii="Aptos" w:hAnsi="Aptos"/>
                <w:b w:val="0"/>
                <w:color w:val="20302B"/>
                <w:sz w:val="15"/>
              </w:rPr>
              <w:t>Choose one: small-space household beginner or campus / community compost operator. This PRD assumes household beginners.</w:t>
            </w:r>
          </w:p>
        </w:tc>
      </w:tr>
      <w:tr>
        <w:trPr>
          <w:cantSplit/>
        </w:trPr>
        <w:tc>
          <w:tcPr>
            <w:tcW w:type="dxa" w:w="288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Which methods will be supported?</w:t>
            </w:r>
          </w:p>
        </w:tc>
        <w:tc>
          <w:tcPr>
            <w:tcW w:type="dxa" w:w="662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Start with one or two methods that an advisor can review and that match users’ space / waste constraints.</w:t>
            </w:r>
          </w:p>
        </w:tc>
      </w:tr>
      <w:tr>
        <w:trPr>
          <w:cantSplit/>
        </w:trPr>
        <w:tc>
          <w:tcPr>
            <w:tcW w:type="dxa" w:w="2880"/>
            <w:vAlign w:val="center"/>
            <w:tcMar>
              <w:top w:w="90" w:type="dxa"/>
              <w:start w:w="100" w:type="dxa"/>
              <w:bottom w:w="90" w:type="dxa"/>
              <w:end w:w="100" w:type="dxa"/>
            </w:tcMar>
          </w:tcPr>
          <w:p>
            <w:pPr>
              <w:spacing w:after="0" w:before="0" w:line="240" w:lineRule="auto"/>
            </w:pPr>
            <w:r/>
            <w:r>
              <w:rPr>
                <w:rFonts w:ascii="Aptos" w:hAnsi="Aptos"/>
                <w:b w:val="0"/>
                <w:color w:val="20302B"/>
                <w:sz w:val="15"/>
              </w:rPr>
              <w:t>Does the user need an account?</w:t>
            </w:r>
          </w:p>
        </w:tc>
        <w:tc>
          <w:tcPr>
            <w:tcW w:type="dxa" w:w="6624"/>
            <w:vAlign w:val="center"/>
            <w:tcMar>
              <w:top w:w="90" w:type="dxa"/>
              <w:start w:w="100" w:type="dxa"/>
              <w:bottom w:w="90" w:type="dxa"/>
              <w:end w:w="100" w:type="dxa"/>
            </w:tcMar>
          </w:tcPr>
          <w:p>
            <w:pPr>
              <w:spacing w:after="0" w:before="0" w:line="240" w:lineRule="auto"/>
            </w:pPr>
            <w:r/>
            <w:r>
              <w:rPr>
                <w:rFonts w:ascii="Aptos" w:hAnsi="Aptos"/>
                <w:b w:val="0"/>
                <w:color w:val="20302B"/>
                <w:sz w:val="15"/>
              </w:rPr>
              <w:t>Avoid mandatory account creation for the first usability prototype. Add persistent accounts only if pilot needs demand it.</w:t>
            </w:r>
          </w:p>
        </w:tc>
      </w:tr>
      <w:tr>
        <w:trPr>
          <w:cantSplit/>
        </w:trPr>
        <w:tc>
          <w:tcPr>
            <w:tcW w:type="dxa" w:w="288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Which languages?</w:t>
            </w:r>
          </w:p>
        </w:tc>
        <w:tc>
          <w:tcPr>
            <w:tcW w:type="dxa" w:w="662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Start in English; ask interviewees whether Marathi / Hindi guidance is important before expanding.</w:t>
            </w:r>
          </w:p>
        </w:tc>
      </w:tr>
      <w:tr>
        <w:trPr>
          <w:cantSplit/>
        </w:trPr>
        <w:tc>
          <w:tcPr>
            <w:tcW w:type="dxa" w:w="2880"/>
            <w:vAlign w:val="center"/>
            <w:tcMar>
              <w:top w:w="90" w:type="dxa"/>
              <w:start w:w="100" w:type="dxa"/>
              <w:bottom w:w="90" w:type="dxa"/>
              <w:end w:w="100" w:type="dxa"/>
            </w:tcMar>
          </w:tcPr>
          <w:p>
            <w:pPr>
              <w:spacing w:after="0" w:before="0" w:line="240" w:lineRule="auto"/>
            </w:pPr>
            <w:r/>
            <w:r>
              <w:rPr>
                <w:rFonts w:ascii="Aptos" w:hAnsi="Aptos"/>
                <w:b w:val="0"/>
                <w:color w:val="20302B"/>
                <w:sz w:val="15"/>
              </w:rPr>
              <w:t>Which plants?</w:t>
            </w:r>
          </w:p>
        </w:tc>
        <w:tc>
          <w:tcPr>
            <w:tcW w:type="dxa" w:w="6624"/>
            <w:vAlign w:val="center"/>
            <w:tcMar>
              <w:top w:w="90" w:type="dxa"/>
              <w:start w:w="100" w:type="dxa"/>
              <w:bottom w:w="90" w:type="dxa"/>
              <w:end w:w="100" w:type="dxa"/>
            </w:tcMar>
          </w:tcPr>
          <w:p>
            <w:pPr>
              <w:spacing w:after="0" w:before="0" w:line="240" w:lineRule="auto"/>
            </w:pPr>
            <w:r/>
            <w:r>
              <w:rPr>
                <w:rFonts w:ascii="Aptos" w:hAnsi="Aptos"/>
                <w:b w:val="0"/>
                <w:color w:val="20302B"/>
                <w:sz w:val="15"/>
              </w:rPr>
              <w:t>Select at most three plants based on local suitability and reviewed guidance.</w:t>
            </w:r>
          </w:p>
        </w:tc>
      </w:tr>
      <w:tr>
        <w:trPr>
          <w:cantSplit/>
        </w:trPr>
        <w:tc>
          <w:tcPr>
            <w:tcW w:type="dxa" w:w="2880"/>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What exactly makes it different?</w:t>
            </w:r>
          </w:p>
        </w:tc>
        <w:tc>
          <w:tcPr>
            <w:tcW w:type="dxa" w:w="6624"/>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5"/>
              </w:rPr>
              <w:t>Do not finalize the differentiator until discovery and competitor review identify a demonstrated gap.</w:t>
            </w:r>
          </w:p>
        </w:tc>
      </w:tr>
      <w:tr>
        <w:trPr>
          <w:cantSplit/>
        </w:trPr>
        <w:tc>
          <w:tcPr>
            <w:tcW w:type="dxa" w:w="2880"/>
            <w:vAlign w:val="center"/>
            <w:tcMar>
              <w:top w:w="90" w:type="dxa"/>
              <w:start w:w="100" w:type="dxa"/>
              <w:bottom w:w="90" w:type="dxa"/>
              <w:end w:w="100" w:type="dxa"/>
            </w:tcMar>
          </w:tcPr>
          <w:p>
            <w:pPr>
              <w:spacing w:after="0" w:before="0" w:line="240" w:lineRule="auto"/>
            </w:pPr>
            <w:r/>
            <w:r>
              <w:rPr>
                <w:rFonts w:ascii="Aptos" w:hAnsi="Aptos"/>
                <w:b w:val="0"/>
                <w:color w:val="20302B"/>
                <w:sz w:val="15"/>
              </w:rPr>
              <w:t>Will there be a seed shop?</w:t>
            </w:r>
          </w:p>
        </w:tc>
        <w:tc>
          <w:tcPr>
            <w:tcW w:type="dxa" w:w="6624"/>
            <w:vAlign w:val="center"/>
            <w:tcMar>
              <w:top w:w="90" w:type="dxa"/>
              <w:start w:w="100" w:type="dxa"/>
              <w:bottom w:w="90" w:type="dxa"/>
              <w:end w:w="100" w:type="dxa"/>
            </w:tcMar>
          </w:tcPr>
          <w:p>
            <w:pPr>
              <w:spacing w:after="0" w:before="0" w:line="240" w:lineRule="auto"/>
            </w:pPr>
            <w:r/>
            <w:r>
              <w:rPr>
                <w:rFonts w:ascii="Aptos" w:hAnsi="Aptos"/>
                <w:b w:val="0"/>
                <w:color w:val="20302B"/>
                <w:sz w:val="15"/>
              </w:rPr>
              <w:t>No for MVP. Revisit only after users validate the core tool and supplier claims can be checked.</w:t>
            </w:r>
          </w:p>
        </w:tc>
      </w:tr>
    </w:tbl>
    <w:p>
      <w:pPr>
        <w:spacing w:after="0"/>
      </w:pPr>
    </w:p>
    <w:p>
      <w:pPr>
        <w:pStyle w:val="Heading2"/>
      </w:pPr>
      <w:r>
        <w:t>8.2 Glossary</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TERM</w:t>
            </w:r>
          </w:p>
        </w:tc>
        <w:tc>
          <w:tcPr>
            <w:tcW w:type="dxa" w:w="7272"/>
            <w:vAlign w:val="center"/>
            <w:tcMar>
              <w:top w:w="90" w:type="dxa"/>
              <w:start w:w="100" w:type="dxa"/>
              <w:bottom w:w="90" w:type="dxa"/>
              <w:end w:w="100" w:type="dxa"/>
            </w:tcMar>
            <w:shd w:fill="183B32"/>
          </w:tcPr>
          <w:p>
            <w:pPr>
              <w:spacing w:after="0" w:before="0" w:line="240" w:lineRule="auto"/>
            </w:pPr>
            <w:r/>
            <w:r>
              <w:rPr>
                <w:rFonts w:ascii="Aptos" w:hAnsi="Aptos"/>
                <w:b/>
                <w:color w:val="FFFFFF"/>
                <w:sz w:val="16"/>
              </w:rPr>
              <w:t>MEANING IN THIS PRD</w:t>
            </w:r>
          </w:p>
        </w:tc>
      </w:tr>
      <w:tr>
        <w:trPr>
          <w:cantSplit/>
        </w:trPr>
        <w:tc>
          <w:tcPr>
            <w:tcW w:type="dxa" w:w="2232"/>
            <w:vAlign w:val="center"/>
            <w:tcMar>
              <w:top w:w="90" w:type="dxa"/>
              <w:start w:w="100" w:type="dxa"/>
              <w:bottom w:w="90" w:type="dxa"/>
              <w:end w:w="100" w:type="dxa"/>
            </w:tcMar>
          </w:tcPr>
          <w:p>
            <w:pPr>
              <w:spacing w:after="0" w:before="0" w:line="240" w:lineRule="auto"/>
            </w:pPr>
            <w:r/>
            <w:r>
              <w:rPr>
                <w:rFonts w:ascii="Aptos" w:hAnsi="Aptos"/>
                <w:b w:val="0"/>
                <w:color w:val="20302B"/>
                <w:sz w:val="16"/>
              </w:rPr>
              <w:t>Available space</w:t>
            </w:r>
          </w:p>
        </w:tc>
        <w:tc>
          <w:tcPr>
            <w:tcW w:type="dxa" w:w="7272"/>
            <w:vAlign w:val="center"/>
            <w:tcMar>
              <w:top w:w="90" w:type="dxa"/>
              <w:start w:w="100" w:type="dxa"/>
              <w:bottom w:w="90" w:type="dxa"/>
              <w:end w:w="100" w:type="dxa"/>
            </w:tcMar>
          </w:tcPr>
          <w:p>
            <w:pPr>
              <w:spacing w:after="0" w:before="0" w:line="240" w:lineRule="auto"/>
            </w:pPr>
            <w:r/>
            <w:r>
              <w:rPr>
                <w:rFonts w:ascii="Aptos" w:hAnsi="Aptos"/>
                <w:b w:val="0"/>
                <w:color w:val="20302B"/>
                <w:sz w:val="16"/>
              </w:rPr>
              <w:t>Physical footprint and maximum height the user can allocate to the setup.</w:t>
            </w:r>
          </w:p>
        </w:tc>
      </w:tr>
      <w:tr>
        <w:trPr>
          <w:cantSplit/>
        </w:trPr>
        <w:tc>
          <w:tcPr>
            <w:tcW w:type="dxa" w:w="22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Container dimensions</w:t>
            </w:r>
          </w:p>
        </w:tc>
        <w:tc>
          <w:tcPr>
            <w:tcW w:type="dxa" w:w="727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Internal dimensions of a vessel; distinct from the broader available space.</w:t>
            </w:r>
          </w:p>
        </w:tc>
      </w:tr>
      <w:tr>
        <w:trPr>
          <w:cantSplit/>
        </w:trPr>
        <w:tc>
          <w:tcPr>
            <w:tcW w:type="dxa" w:w="2232"/>
            <w:vAlign w:val="center"/>
            <w:tcMar>
              <w:top w:w="90" w:type="dxa"/>
              <w:start w:w="100" w:type="dxa"/>
              <w:bottom w:w="90" w:type="dxa"/>
              <w:end w:w="100" w:type="dxa"/>
            </w:tcMar>
          </w:tcPr>
          <w:p>
            <w:pPr>
              <w:spacing w:after="0" w:before="0" w:line="240" w:lineRule="auto"/>
            </w:pPr>
            <w:r/>
            <w:r>
              <w:rPr>
                <w:rFonts w:ascii="Aptos" w:hAnsi="Aptos"/>
                <w:b w:val="0"/>
                <w:color w:val="20302B"/>
                <w:sz w:val="16"/>
              </w:rPr>
              <w:t>Geometric volume</w:t>
            </w:r>
          </w:p>
        </w:tc>
        <w:tc>
          <w:tcPr>
            <w:tcW w:type="dxa" w:w="7272"/>
            <w:vAlign w:val="center"/>
            <w:tcMar>
              <w:top w:w="90" w:type="dxa"/>
              <w:start w:w="100" w:type="dxa"/>
              <w:bottom w:w="90" w:type="dxa"/>
              <w:end w:w="100" w:type="dxa"/>
            </w:tcMar>
          </w:tcPr>
          <w:p>
            <w:pPr>
              <w:spacing w:after="0" w:before="0" w:line="240" w:lineRule="auto"/>
            </w:pPr>
            <w:r/>
            <w:r>
              <w:rPr>
                <w:rFonts w:ascii="Aptos" w:hAnsi="Aptos"/>
                <w:b w:val="0"/>
                <w:color w:val="20302B"/>
                <w:sz w:val="16"/>
              </w:rPr>
              <w:t>Calculated volume of the vessel. It is not automatically usable volume, processing capacity or maturity time.</w:t>
            </w:r>
          </w:p>
        </w:tc>
      </w:tr>
      <w:tr>
        <w:trPr>
          <w:cantSplit/>
        </w:trPr>
        <w:tc>
          <w:tcPr>
            <w:tcW w:type="dxa" w:w="22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Rule engine</w:t>
            </w:r>
          </w:p>
        </w:tc>
        <w:tc>
          <w:tcPr>
            <w:tcW w:type="dxa" w:w="727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Explicit, testable conditions that map inputs to a recommendation or warning.</w:t>
            </w:r>
          </w:p>
        </w:tc>
      </w:tr>
      <w:tr>
        <w:trPr>
          <w:cantSplit/>
        </w:trPr>
        <w:tc>
          <w:tcPr>
            <w:tcW w:type="dxa" w:w="2232"/>
            <w:vAlign w:val="center"/>
            <w:tcMar>
              <w:top w:w="90" w:type="dxa"/>
              <w:start w:w="100" w:type="dxa"/>
              <w:bottom w:w="90" w:type="dxa"/>
              <w:end w:w="100" w:type="dxa"/>
            </w:tcMar>
          </w:tcPr>
          <w:p>
            <w:pPr>
              <w:spacing w:after="0" w:before="0" w:line="240" w:lineRule="auto"/>
            </w:pPr>
            <w:r/>
            <w:r>
              <w:rPr>
                <w:rFonts w:ascii="Aptos" w:hAnsi="Aptos"/>
                <w:b w:val="0"/>
                <w:color w:val="20302B"/>
                <w:sz w:val="16"/>
              </w:rPr>
              <w:t>Readiness window</w:t>
            </w:r>
          </w:p>
        </w:tc>
        <w:tc>
          <w:tcPr>
            <w:tcW w:type="dxa" w:w="7272"/>
            <w:vAlign w:val="center"/>
            <w:tcMar>
              <w:top w:w="90" w:type="dxa"/>
              <w:start w:w="100" w:type="dxa"/>
              <w:bottom w:w="90" w:type="dxa"/>
              <w:end w:w="100" w:type="dxa"/>
            </w:tcMar>
          </w:tcPr>
          <w:p>
            <w:pPr>
              <w:spacing w:after="0" w:before="0" w:line="240" w:lineRule="auto"/>
            </w:pPr>
            <w:r/>
            <w:r>
              <w:rPr>
                <w:rFonts w:ascii="Aptos" w:hAnsi="Aptos"/>
                <w:b w:val="0"/>
                <w:color w:val="20302B"/>
                <w:sz w:val="16"/>
              </w:rPr>
              <w:t>A cautious estimate range, always paired with observable maturity checks.</w:t>
            </w:r>
          </w:p>
        </w:tc>
      </w:tr>
      <w:tr>
        <w:trPr>
          <w:cantSplit/>
        </w:trPr>
        <w:tc>
          <w:tcPr>
            <w:tcW w:type="dxa" w:w="223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Pilot batch</w:t>
            </w:r>
          </w:p>
        </w:tc>
        <w:tc>
          <w:tcPr>
            <w:tcW w:type="dxa" w:w="7272"/>
            <w:vAlign w:val="center"/>
            <w:tcMar>
              <w:top w:w="90" w:type="dxa"/>
              <w:start w:w="100" w:type="dxa"/>
              <w:bottom w:w="90" w:type="dxa"/>
              <w:end w:w="100" w:type="dxa"/>
            </w:tcMar>
            <w:shd w:fill="F5F7F5"/>
          </w:tcPr>
          <w:p>
            <w:pPr>
              <w:spacing w:after="0" w:before="0" w:line="240" w:lineRule="auto"/>
            </w:pPr>
            <w:r/>
            <w:r>
              <w:rPr>
                <w:rFonts w:ascii="Aptos" w:hAnsi="Aptos"/>
                <w:b w:val="0"/>
                <w:color w:val="20302B"/>
                <w:sz w:val="16"/>
              </w:rPr>
              <w:t>A real compost batch logged to test recommendations and observe outcomes.</w:t>
            </w:r>
          </w:p>
        </w:tc>
      </w:tr>
    </w:tbl>
    <w:p>
      <w:pPr>
        <w:spacing w:after="0"/>
      </w:pPr>
    </w:p>
    <w:p>
      <w:pPr>
        <w:pStyle w:val="Heading2"/>
      </w:pPr>
      <w:r>
        <w:t>8.3 Sources and references</w:t>
      </w:r>
    </w:p>
    <w:p>
      <w:pPr>
        <w:pStyle w:val="Small"/>
        <w:spacing w:after="60"/>
      </w:pPr>
      <w:r>
        <w:t xml:space="preserve">[1] U.S. Environmental Protection Agency. “Composting at Home.” Guidance on inputs, browns / greens, moisture, air, monitoring, troubleshooting and maturity indicators. Accessed 18 Oct 2026. </w:t>
      </w:r>
      <w:hyperlink r:id="rId11">
        <w:r>
          <w:rPr>
            <w:color w:val="2F6B52"/>
            <w:u w:val="single"/>
            <w:sz w:val="17"/>
          </w:rPr>
          <w:t>Open source</w:t>
        </w:r>
      </w:hyperlink>
    </w:p>
    <w:p>
      <w:pPr>
        <w:pStyle w:val="Small"/>
        <w:spacing w:after="60"/>
      </w:pPr>
      <w:r>
        <w:t xml:space="preserve">[2] Municipal Corporation of Greater Mumbai. “Greening Mumbai: Citizen’s Handbook for Greening Initiatives.” Includes home and community composting notes; use local guidance alongside expert review. Accessed 18 Oct 2026. </w:t>
      </w:r>
      <w:hyperlink r:id="rId12">
        <w:r>
          <w:rPr>
            <w:color w:val="2F6B52"/>
            <w:u w:val="single"/>
            <w:sz w:val="17"/>
          </w:rPr>
          <w:t>Open source</w:t>
        </w:r>
      </w:hyperlink>
    </w:p>
    <w:p>
      <w:pPr>
        <w:pStyle w:val="Small"/>
        <w:spacing w:after="60"/>
      </w:pPr>
      <w:r>
        <w:t xml:space="preserve">[3] United Nations Department of Economic and Social Affairs. “Goal 12: Responsible Consumption and Production.” Targets 12.5 and 12.8. Accessed 18 Oct 2026. </w:t>
      </w:r>
      <w:hyperlink r:id="rId13">
        <w:r>
          <w:rPr>
            <w:color w:val="2F6B52"/>
            <w:u w:val="single"/>
            <w:sz w:val="17"/>
          </w:rPr>
          <w:t>Open source</w:t>
        </w:r>
      </w:hyperlink>
    </w:p>
    <w:p>
      <w:pPr>
        <w:pStyle w:val="Small"/>
        <w:spacing w:after="60"/>
      </w:pPr>
      <w:r>
        <w:t xml:space="preserve">[4] Google Play Store. “Heap: Compost Tracker &amp; Guide.” Public product description lists material balancing, batch tracking, material library and troubleshooting. Used as a single competitor example, not an exhaustive market review. Accessed 18 Oct 2026. </w:t>
      </w:r>
      <w:hyperlink r:id="rId14">
        <w:r>
          <w:rPr>
            <w:color w:val="2F6B52"/>
            <w:u w:val="single"/>
            <w:sz w:val="17"/>
          </w:rPr>
          <w:t>Open source</w:t>
        </w:r>
      </w:hyperlink>
    </w:p>
    <w:p>
      <w:pPr>
        <w:pStyle w:val="Small"/>
        <w:spacing w:after="60"/>
      </w:pPr>
      <w:r>
        <w:t xml:space="preserve">[5] Arizona Department of Environmental Quality. “Compost Guide: Troubleshooting.” Example of symptom-based troubleshooting guidance. Accessed 18 Oct 2026. </w:t>
      </w:r>
      <w:hyperlink r:id="rId15">
        <w:r>
          <w:rPr>
            <w:color w:val="2F6B52"/>
            <w:u w:val="single"/>
            <w:sz w:val="17"/>
          </w:rPr>
          <w:t>Open source</w:t>
        </w:r>
      </w:hyperlink>
    </w:p>
    <w:p>
      <w:pPr>
        <w:pStyle w:val="Small"/>
      </w:pPr>
      <w:r>
        <w:rPr>
          <w:i/>
        </w:rPr>
        <w:t>Source-use note: Sources support background guidance, not automatic approval of every product rule. The final recommendation library needs a qualified local review; methods, approved materials and plant advice can differ by system and context.</w:t>
      </w:r>
    </w:p>
    <w:sectPr w:rsidR="00FC693F" w:rsidRPr="0006063C" w:rsidSect="00034616">
      <w:headerReference w:type="default" r:id="rId9"/>
      <w:footerReference w:type="default" r:id="rId10"/>
      <w:pgSz w:w="11909" w:h="16834"/>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B6B64"/>
        <w:sz w:val="16"/>
      </w:rPr>
      <w:t xml:space="preserve">DRAFT 0.1  •  18 OCT 2026     |     </w:t>
    </w:r>
    <w:r>
      <w:rPr>
        <w:rFonts w:ascii="Aptos" w:hAnsi="Aptos"/>
        <w:color w:val="5B6B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4" w:color="D8E4DC"/>
      </w:pBdr>
    </w:pPr>
    <w:r>
      <w:rPr>
        <w:rFonts w:ascii="Aptos" w:hAnsi="Aptos"/>
        <w:b/>
        <w:color w:val="2F6B52"/>
        <w:sz w:val="15"/>
      </w:rPr>
      <w:t>CUST-POST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30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60"/>
      <w:outlineLvl w:val="0"/>
    </w:pPr>
    <w:rPr>
      <w:rFonts w:asciiTheme="majorHAnsi" w:eastAsiaTheme="majorEastAsia" w:hAnsiTheme="majorHAnsi" w:cstheme="majorBidi" w:ascii="Aptos Display" w:hAnsi="Aptos Display"/>
      <w:b/>
      <w:bCs/>
      <w:color w:val="183B32"/>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6B52"/>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183B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3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5B6B6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5B6B64"/>
      <w:sz w:val="16"/>
    </w:rPr>
  </w:style>
  <w:style w:type="paragraph" w:customStyle="1" w:styleId="Requirement">
    <w:name w:val="Requirement"/>
    <w:pPr>
      <w:spacing w:after="60"/>
    </w:pPr>
    <w:rPr>
      <w:rFonts w:ascii="Aptos" w:hAnsi="Aptos"/>
      <w:color w:val="2030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pa.gov/recycle/composting-home" TargetMode="External"/><Relationship Id="rId12" Type="http://schemas.openxmlformats.org/officeDocument/2006/relationships/hyperlink" Target="https://portal.mcgm.gov.in/irj/go/km/docs/documents/HomePage%20Data/Related%20Links/GREENING%20MUMBAI-Citizen%27s%20handbook%20for%20greening%20initiatives.pdf" TargetMode="External"/><Relationship Id="rId13" Type="http://schemas.openxmlformats.org/officeDocument/2006/relationships/hyperlink" Target="https://sdgs.un.org/goals/goal12" TargetMode="External"/><Relationship Id="rId14" Type="http://schemas.openxmlformats.org/officeDocument/2006/relationships/hyperlink" Target="https://play.google.com/store/apps/details?id=com.plantanywhere.heap" TargetMode="External"/><Relationship Id="rId15" Type="http://schemas.openxmlformats.org/officeDocument/2006/relationships/hyperlink" Target="https://www.azdeq.gov/compost-guide-troubleshoo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Cust-Post Product Requirements Document</dc:title>
  <dc:subject>MVP PRD for a space-aware composting assistant</dc:subject>
  <dc:creator>Nirman Lab Student Project</dc:creator>
  <cp:keywords>Cust-Post, composting, product requirements, sustainability, SDG 12</cp:keywords>
  <dc:description>Draft 0.1; assumptions and targets require validation.</dc:description>
  <cp:lastModifiedBy/>
  <cp:revision>1</cp:revision>
  <dcterms:created xsi:type="dcterms:W3CDTF">2013-12-23T23:15:00Z</dcterms:created>
  <dcterms:modified xsi:type="dcterms:W3CDTF">2013-12-23T23:15:00Z</dcterms:modified>
  <cp:category/>
</cp:coreProperties>
</file>