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166"/>
      </w:tblGrid>
      <w:tr>
        <w:tc>
          <w:tcPr>
            <w:tcW w:type="dxa" w:w="10008"/>
            <w:vAlign w:val="center"/>
            <w:tcMar>
              <w:top w:w="260" w:type="dxa"/>
              <w:start w:w="300" w:type="dxa"/>
              <w:bottom w:w="250" w:type="dxa"/>
              <w:end w:w="300" w:type="dxa"/>
            </w:tcMar>
            <w:shd w:fill="00664F" w:val="clear"/>
          </w:tcPr>
          <w:p>
            <w:pPr>
              <w:spacing w:after="180"/>
            </w:pPr>
            <w:r/>
            <w:r>
              <w:rPr>
                <w:rFonts w:ascii="Arial" w:hAnsi="Arial"/>
                <w:b/>
                <w:color w:val="F6B73E"/>
                <w:sz w:val="18"/>
              </w:rPr>
              <w:t>DESIGN DIRECTION  /  V0.1</w:t>
            </w:r>
          </w:p>
          <w:p>
            <w:pPr>
              <w:spacing w:after="40" w:line="235" w:lineRule="auto"/>
            </w:pPr>
            <w:r>
              <w:rPr>
                <w:rFonts w:ascii="Arial" w:hAnsi="Arial"/>
                <w:b w:val="0"/>
                <w:color w:val="FFF9EE"/>
                <w:sz w:val="74"/>
              </w:rPr>
              <w:t>Make room</w:t>
              <w:br/>
              <w:t>for better soil.</w:t>
            </w:r>
          </w:p>
          <w:p>
            <w:pPr>
              <w:spacing w:before="160" w:after="0"/>
            </w:pPr>
            <w:r>
              <w:rPr>
                <w:rFonts w:ascii="Arial" w:hAnsi="Arial"/>
                <w:color w:val="DDECE2"/>
                <w:sz w:val="22"/>
              </w:rPr>
              <w:t>Cust-Post  |  A space-aware composting assistant for beginners</w:t>
            </w:r>
          </w:p>
        </w:tc>
      </w:tr>
    </w:tbl>
    <w:p>
      <w:pPr>
        <w:spacing w:before="260" w:after="160" w:line="283" w:lineRule="auto"/>
      </w:pPr>
      <w:r>
        <w:rPr>
          <w:rFonts w:ascii="Arial" w:hAnsi="Arial"/>
          <w:b w:val="0"/>
          <w:i w:val="0"/>
          <w:color w:val="5E6F65"/>
          <w:sz w:val="21"/>
        </w:rPr>
        <w:t>A product design specification inspired by the editorial freshness of AMC Natural, adapted for a practical, evidence-first utility.</w:t>
      </w:r>
    </w:p>
    <w:tbl>
      <w:tblPr>
        <w:tblW w:type="auto" w:w="0"/>
        <w:jc w:val="center"/>
        <w:tblLayout w:type="fixed"/>
        <w:tblLook w:firstColumn="1" w:firstRow="1" w:lastColumn="0" w:lastRow="0" w:noHBand="0" w:noVBand="1" w:val="04A0"/>
      </w:tblPr>
      <w:tblGrid>
        <w:gridCol w:w="3389"/>
        <w:gridCol w:w="3389"/>
        <w:gridCol w:w="3389"/>
      </w:tblGrid>
      <w:tr>
        <w:tc>
          <w:tcPr>
            <w:tcW w:type="dxa" w:w="3312"/>
            <w:vAlign w:val="center"/>
            <w:tcMar>
              <w:top w:w="145" w:type="dxa"/>
              <w:start w:w="155" w:type="dxa"/>
              <w:bottom w:w="145" w:type="dxa"/>
              <w:end w:w="155" w:type="dxa"/>
            </w:tcMar>
            <w:shd w:fill="E4F0E8" w:val="clear"/>
            <w:tcBorders>
              <w:top w:val="single" w:sz="10" w:color="FFFFFF"/>
              <w:left w:val="single" w:sz="10" w:color="FFFFFF"/>
              <w:bottom w:val="single" w:sz="10" w:color="FFFFFF"/>
              <w:right w:val="single" w:sz="10" w:color="FFFFFF"/>
            </w:tcBorders>
          </w:tcPr>
          <w:p>
            <w:pPr>
              <w:spacing w:after="80"/>
            </w:pPr>
            <w:r/>
            <w:r>
              <w:rPr>
                <w:rFonts w:ascii="Arial" w:hAnsi="Arial"/>
                <w:b/>
                <w:color w:val="00664F"/>
                <w:sz w:val="20"/>
              </w:rPr>
              <w:t>01  /  Fresh</w:t>
            </w:r>
          </w:p>
          <w:p>
            <w:pPr>
              <w:spacing w:after="0" w:line="271" w:lineRule="auto"/>
            </w:pPr>
            <w:r>
              <w:rPr>
                <w:rFonts w:ascii="Arial" w:hAnsi="Arial"/>
                <w:color w:val="34483F"/>
                <w:sz w:val="17"/>
              </w:rPr>
              <w:t>Warm paper tones, natural greens and restrained marigold energy.</w:t>
            </w:r>
          </w:p>
        </w:tc>
        <w:tc>
          <w:tcPr>
            <w:tcW w:type="dxa" w:w="3312"/>
            <w:vAlign w:val="center"/>
            <w:tcMar>
              <w:top w:w="145" w:type="dxa"/>
              <w:start w:w="155" w:type="dxa"/>
              <w:bottom w:w="145" w:type="dxa"/>
              <w:end w:w="155" w:type="dxa"/>
            </w:tcMar>
            <w:shd w:fill="F1F4EC" w:val="clear"/>
            <w:tcBorders>
              <w:top w:val="single" w:sz="10" w:color="FFFFFF"/>
              <w:left w:val="single" w:sz="10" w:color="FFFFFF"/>
              <w:bottom w:val="single" w:sz="10" w:color="FFFFFF"/>
              <w:right w:val="single" w:sz="10" w:color="FFFFFF"/>
            </w:tcBorders>
          </w:tcPr>
          <w:p>
            <w:pPr>
              <w:spacing w:after="80"/>
            </w:pPr>
            <w:r/>
            <w:r>
              <w:rPr>
                <w:rFonts w:ascii="Arial" w:hAnsi="Arial"/>
                <w:b/>
                <w:color w:val="00664F"/>
                <w:sz w:val="20"/>
              </w:rPr>
              <w:t>02  /  Explainable</w:t>
            </w:r>
          </w:p>
          <w:p>
            <w:pPr>
              <w:spacing w:after="0" w:line="271" w:lineRule="auto"/>
            </w:pPr>
            <w:r>
              <w:rPr>
                <w:rFonts w:ascii="Arial" w:hAnsi="Arial"/>
                <w:color w:val="34483F"/>
                <w:sz w:val="17"/>
              </w:rPr>
              <w:t>Every recommendation shows its reason, limits and sources.</w:t>
            </w:r>
          </w:p>
        </w:tc>
        <w:tc>
          <w:tcPr>
            <w:tcW w:type="dxa" w:w="3312"/>
            <w:vAlign w:val="center"/>
            <w:tcMar>
              <w:top w:w="145" w:type="dxa"/>
              <w:start w:w="155" w:type="dxa"/>
              <w:bottom w:w="145" w:type="dxa"/>
              <w:end w:w="155" w:type="dxa"/>
            </w:tcMar>
            <w:shd w:fill="FFF0C8" w:val="clear"/>
            <w:tcBorders>
              <w:top w:val="single" w:sz="10" w:color="FFFFFF"/>
              <w:left w:val="single" w:sz="10" w:color="FFFFFF"/>
              <w:bottom w:val="single" w:sz="10" w:color="FFFFFF"/>
              <w:right w:val="single" w:sz="10" w:color="FFFFFF"/>
            </w:tcBorders>
          </w:tcPr>
          <w:p>
            <w:pPr>
              <w:spacing w:after="80"/>
            </w:pPr>
            <w:r/>
            <w:r>
              <w:rPr>
                <w:rFonts w:ascii="Arial" w:hAnsi="Arial"/>
                <w:b/>
                <w:color w:val="00664F"/>
                <w:sz w:val="20"/>
              </w:rPr>
              <w:t>03  /  Practical</w:t>
            </w:r>
          </w:p>
          <w:p>
            <w:pPr>
              <w:spacing w:after="0" w:line="271" w:lineRule="auto"/>
            </w:pPr>
            <w:r>
              <w:rPr>
                <w:rFonts w:ascii="Arial" w:hAnsi="Arial"/>
                <w:color w:val="34483F"/>
                <w:sz w:val="17"/>
              </w:rPr>
              <w:t>Forms, logs and status states take priority over decoration.</w:t>
            </w:r>
          </w:p>
        </w:tc>
      </w:tr>
    </w:tbl>
    <w:p>
      <w:pPr>
        <w:pStyle w:val="Heading1"/>
        <w:keepNext/>
        <w:spacing w:before="160" w:after="100"/>
      </w:pPr>
      <w:r>
        <w:rPr>
          <w:rFonts w:ascii="Arial" w:hAnsi="Arial"/>
        </w:rPr>
        <w:t>Product context</w:t>
      </w:r>
    </w:p>
    <w:p>
      <w:pPr>
        <w:spacing w:before="0" w:after="100" w:line="283" w:lineRule="auto"/>
      </w:pPr>
      <w:r>
        <w:rPr>
          <w:rFonts w:ascii="Arial" w:hAnsi="Arial"/>
          <w:b w:val="0"/>
          <w:i w:val="0"/>
          <w:color w:val="34483F"/>
          <w:sz w:val="20"/>
        </w:rPr>
        <w:t>Cust-Post helps a beginner decide whether a composting setup fits their real space, container and organic inputs; then it supports the user through dated observations and cautious troubleshooting. The first release is a responsive website, not a broad gardening marketplace or an AI-first chatbot.</w:t>
      </w:r>
    </w:p>
    <w:p>
      <w:pPr>
        <w:pStyle w:val="Heading2"/>
        <w:keepNext/>
        <w:spacing w:before="100" w:after="60"/>
      </w:pPr>
      <w:r>
        <w:rPr>
          <w:rFonts w:ascii="Arial" w:hAnsi="Arial"/>
        </w:rPr>
        <w:t>Design outcome</w:t>
      </w:r>
    </w:p>
    <w:p>
      <w:pPr>
        <w:spacing w:before="0" w:after="100" w:line="283" w:lineRule="auto"/>
      </w:pPr>
      <w:r>
        <w:rPr>
          <w:rFonts w:ascii="Arial" w:hAnsi="Arial"/>
          <w:b w:val="0"/>
          <w:i w:val="0"/>
          <w:color w:val="34483F"/>
          <w:sz w:val="20"/>
        </w:rPr>
        <w:t>A calm, editorial interface that feels optimistic and alive at first glance, then becomes structured and precise when users enter measurements, read a recommendation or investigate a problem.</w:t>
      </w:r>
    </w:p>
    <w:tbl>
      <w:tblPr>
        <w:tblW w:type="auto" w:w="0"/>
        <w:jc w:val="center"/>
        <w:tblLayout w:type="fixed"/>
        <w:tblLook w:firstColumn="1" w:firstRow="1" w:lastColumn="0" w:lastRow="0" w:noHBand="0" w:noVBand="1" w:val="04A0"/>
      </w:tblPr>
      <w:tblGrid>
        <w:gridCol w:w="10166"/>
      </w:tblGrid>
      <w:tr>
        <w:tc>
          <w:tcPr>
            <w:tcW w:type="dxa" w:w="10008"/>
            <w:vAlign w:val="center"/>
            <w:tcMar>
              <w:top w:w="130" w:type="dxa"/>
              <w:start w:w="180" w:type="dxa"/>
              <w:bottom w:w="130" w:type="dxa"/>
              <w:end w:w="180" w:type="dxa"/>
            </w:tcMar>
            <w:shd w:fill="F8F3E9" w:val="clear"/>
            <w:tcBorders>
              <w:left w:val="single" w:sz="20" w:color="009775"/>
            </w:tcBorders>
          </w:tcPr>
          <w:p>
            <w:pPr>
              <w:spacing w:after="0"/>
            </w:pPr>
            <w:r/>
            <w:r>
              <w:rPr>
                <w:rFonts w:ascii="Arial" w:hAnsi="Arial"/>
                <w:b/>
                <w:color w:val="00664F"/>
                <w:sz w:val="18"/>
              </w:rPr>
              <w:t xml:space="preserve">Guardrail: </w:t>
            </w:r>
            <w:r>
              <w:rPr>
                <w:rFonts w:ascii="Arial" w:hAnsi="Arial"/>
                <w:color w:val="34483F"/>
                <w:sz w:val="18"/>
              </w:rPr>
              <w:t>Visual confidence must never turn into false certainty. Unknown container history stays unknown; estimates and measurements stay visibly distinct; no exact compost-ready date is promised from dimensions alone.</w:t>
            </w:r>
          </w:p>
        </w:tc>
      </w:tr>
    </w:tbl>
    <w:p>
      <w:pPr>
        <w:spacing w:before="160" w:after="0" w:line="283" w:lineRule="auto"/>
      </w:pPr>
      <w:r>
        <w:rPr>
          <w:rFonts w:ascii="Arial" w:hAnsi="Arial"/>
          <w:b w:val="0"/>
          <w:i/>
          <w:color w:val="5E6F65"/>
          <w:sz w:val="17"/>
        </w:rPr>
        <w:t>Prepared from Cust-Post PRD Draft 0.1 • 18 October 2026. Concept direction only; validate with beginner users and a qualified composting reviewer.</w:t>
      </w:r>
    </w:p>
    <w:p>
      <w:r>
        <w:br w:type="page"/>
      </w:r>
    </w:p>
    <w:p>
      <w:pPr>
        <w:pStyle w:val="Heading1"/>
        <w:keepNext/>
        <w:spacing w:before="160" w:after="100"/>
      </w:pPr>
      <w:r>
        <w:rPr>
          <w:rFonts w:ascii="Arial" w:hAnsi="Arial"/>
        </w:rPr>
        <w:t>01  /  Reference analysis</w:t>
      </w:r>
    </w:p>
    <w:p>
      <w:pPr>
        <w:spacing w:before="0" w:after="100" w:line="283" w:lineRule="auto"/>
      </w:pPr>
      <w:r>
        <w:rPr>
          <w:rFonts w:ascii="Arial" w:hAnsi="Arial"/>
          <w:b w:val="0"/>
          <w:i w:val="0"/>
          <w:color w:val="34483F"/>
          <w:sz w:val="20"/>
        </w:rPr>
        <w:t>Reference: AMC Natural on Awwwards. The Awwwards page lists the brand palette as #009775 and #F6B73E and tags the site for large background imagery, color, graphic design and microinteractions. The screenshot and live site show large green display text, a warm pale backdrop, colorful product imagery and an editorial shift between narrative and gallery sections.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vAlign w:val="center"/>
            <w:tcMar>
              <w:top w:w="90" w:type="dxa"/>
              <w:start w:w="120" w:type="dxa"/>
              <w:bottom w:w="90" w:type="dxa"/>
              <w:end w:w="120" w:type="dxa"/>
            </w:tcMar>
            <w:shd w:fill="00664F" w:val="cle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FFFFFF"/>
                <w:sz w:val="17"/>
              </w:rPr>
              <w:t>Design area</w:t>
            </w:r>
          </w:p>
        </w:tc>
        <w:tc>
          <w:tcPr>
            <w:tcW w:type="dxa" w:w="3816"/>
            <w:vAlign w:val="center"/>
            <w:tcMar>
              <w:top w:w="90" w:type="dxa"/>
              <w:start w:w="120" w:type="dxa"/>
              <w:bottom w:w="90" w:type="dxa"/>
              <w:end w:w="120" w:type="dxa"/>
            </w:tcMar>
            <w:shd w:fill="00664F" w:val="cle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FFFFFF"/>
                <w:sz w:val="17"/>
              </w:rPr>
              <w:t>What the reference does</w:t>
            </w:r>
          </w:p>
        </w:tc>
        <w:tc>
          <w:tcPr>
            <w:tcW w:type="dxa" w:w="4680"/>
            <w:vAlign w:val="center"/>
            <w:tcMar>
              <w:top w:w="90" w:type="dxa"/>
              <w:start w:w="120" w:type="dxa"/>
              <w:bottom w:w="90" w:type="dxa"/>
              <w:end w:w="120" w:type="dxa"/>
            </w:tcMar>
            <w:shd w:fill="00664F" w:val="cle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FFFFFF"/>
                <w:sz w:val="17"/>
              </w:rPr>
              <w:t>Cust-Post interpretation</w:t>
            </w:r>
          </w:p>
        </w:tc>
      </w:tr>
      <w:tr>
        <w:tc>
          <w:tcPr>
            <w:tcW w:type="dxa" w:w="3389"/>
            <w:shd w:fill="F7F8F2" w:val="clear"/>
            <w:tcMar>
              <w:top w:w="100" w:type="dxa"/>
              <w:start w:w="105" w:type="dxa"/>
              <w:bottom w:w="100"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7"/>
              </w:rPr>
              <w:t>Color</w:t>
            </w:r>
          </w:p>
        </w:tc>
        <w:tc>
          <w:tcPr>
            <w:tcW w:type="dxa" w:w="3389"/>
            <w:shd w:fill="F7F8F2" w:val="clear"/>
            <w:tcMar>
              <w:top w:w="100" w:type="dxa"/>
              <w:start w:w="105" w:type="dxa"/>
              <w:bottom w:w="100"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A saturated, fresh green is the main identity signal; marigold/yellow provides lively contrast. Warm pale surfaces keep the page from feeling clinical.</w:t>
            </w:r>
          </w:p>
        </w:tc>
        <w:tc>
          <w:tcPr>
            <w:tcW w:type="dxa" w:w="3389"/>
            <w:shd w:fill="F7F8F2" w:val="clear"/>
            <w:tcMar>
              <w:top w:w="100" w:type="dxa"/>
              <w:start w:w="105" w:type="dxa"/>
              <w:bottom w:w="100"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Use compost green as the identity anchor and marigold for small moments of energy; keep most working screens on a pale paper canvas.</w:t>
            </w:r>
          </w:p>
        </w:tc>
      </w:tr>
      <w:tr>
        <w:tc>
          <w:tcPr>
            <w:tcW w:type="dxa" w:w="3389"/>
            <w:tcMar>
              <w:top w:w="100" w:type="dxa"/>
              <w:start w:w="105" w:type="dxa"/>
              <w:bottom w:w="100"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7"/>
              </w:rPr>
              <w:t>Layout</w:t>
            </w:r>
          </w:p>
        </w:tc>
        <w:tc>
          <w:tcPr>
            <w:tcW w:type="dxa" w:w="3389"/>
            <w:tcMar>
              <w:top w:w="100" w:type="dxa"/>
              <w:start w:w="105" w:type="dxa"/>
              <w:bottom w:w="100"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Large asymmetrical intro area, generous negative space, then full-width / image-led product galleries and milestone sections.</w:t>
            </w:r>
          </w:p>
        </w:tc>
        <w:tc>
          <w:tcPr>
            <w:tcW w:type="dxa" w:w="3389"/>
            <w:tcMar>
              <w:top w:w="100" w:type="dxa"/>
              <w:start w:w="105" w:type="dxa"/>
              <w:bottom w:w="100"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Use editorial hero sections on the landing page; switch to a focused single-column flow for setup, troubleshooting and log entry.</w:t>
            </w:r>
          </w:p>
        </w:tc>
      </w:tr>
      <w:tr>
        <w:tc>
          <w:tcPr>
            <w:tcW w:type="dxa" w:w="3389"/>
            <w:shd w:fill="F7F8F2" w:val="clear"/>
            <w:tcMar>
              <w:top w:w="100" w:type="dxa"/>
              <w:start w:w="105" w:type="dxa"/>
              <w:bottom w:w="100"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7"/>
              </w:rPr>
              <w:t>Typography</w:t>
            </w:r>
          </w:p>
        </w:tc>
        <w:tc>
          <w:tcPr>
            <w:tcW w:type="dxa" w:w="3389"/>
            <w:shd w:fill="F7F8F2" w:val="clear"/>
            <w:tcMar>
              <w:top w:w="100" w:type="dxa"/>
              <w:start w:w="105" w:type="dxa"/>
              <w:bottom w:w="100"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Oversized lightweight sans-serif display type; short, direct headings; compact supporting copy.</w:t>
            </w:r>
          </w:p>
        </w:tc>
        <w:tc>
          <w:tcPr>
            <w:tcW w:type="dxa" w:w="3389"/>
            <w:shd w:fill="F7F8F2" w:val="clear"/>
            <w:tcMar>
              <w:top w:w="100" w:type="dxa"/>
              <w:start w:w="105" w:type="dxa"/>
              <w:bottom w:w="100"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Use Manrope or a similar modern sans with light display weights. Keep form labels and body text robust and easy to scan.</w:t>
            </w:r>
          </w:p>
        </w:tc>
      </w:tr>
      <w:tr>
        <w:tc>
          <w:tcPr>
            <w:tcW w:type="dxa" w:w="3389"/>
            <w:tcMar>
              <w:top w:w="100" w:type="dxa"/>
              <w:start w:w="105" w:type="dxa"/>
              <w:bottom w:w="100"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7"/>
              </w:rPr>
              <w:t>Imagery</w:t>
            </w:r>
          </w:p>
        </w:tc>
        <w:tc>
          <w:tcPr>
            <w:tcW w:type="dxa" w:w="3389"/>
            <w:tcMar>
              <w:top w:w="100" w:type="dxa"/>
              <w:start w:w="105" w:type="dxa"/>
              <w:bottom w:w="100"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Product photography does the storytelling; vivid subjects are placed against quiet fields and occasionally gradient-led surfaces.</w:t>
            </w:r>
          </w:p>
        </w:tc>
        <w:tc>
          <w:tcPr>
            <w:tcW w:type="dxa" w:w="3389"/>
            <w:tcMar>
              <w:top w:w="100" w:type="dxa"/>
              <w:start w:w="105" w:type="dxa"/>
              <w:bottom w:w="100"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Prefer real composting scenes, container close-ups and plants. Use illustrative gradients only as a backdrop, never in place of guidance.</w:t>
            </w:r>
          </w:p>
        </w:tc>
      </w:tr>
      <w:tr>
        <w:tc>
          <w:tcPr>
            <w:tcW w:type="dxa" w:w="3389"/>
            <w:shd w:fill="F7F8F2" w:val="clear"/>
            <w:tcMar>
              <w:top w:w="100" w:type="dxa"/>
              <w:start w:w="105" w:type="dxa"/>
              <w:bottom w:w="100"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7"/>
              </w:rPr>
              <w:t>Components</w:t>
            </w:r>
          </w:p>
        </w:tc>
        <w:tc>
          <w:tcPr>
            <w:tcW w:type="dxa" w:w="3389"/>
            <w:shd w:fill="F7F8F2" w:val="clear"/>
            <w:tcMar>
              <w:top w:w="100" w:type="dxa"/>
              <w:start w:w="105" w:type="dxa"/>
              <w:bottom w:w="100"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Simple navigation, broad visual sections, image tiles, repeated brand message and small interactions.</w:t>
            </w:r>
          </w:p>
        </w:tc>
        <w:tc>
          <w:tcPr>
            <w:tcW w:type="dxa" w:w="3389"/>
            <w:shd w:fill="F7F8F2" w:val="clear"/>
            <w:tcMar>
              <w:top w:w="100" w:type="dxa"/>
              <w:start w:w="105" w:type="dxa"/>
              <w:bottom w:w="100"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Use a compact top nav, rounded but not pill-heavy panels, progress steps, source drawers, status cards and lightweight hover feedback.</w:t>
            </w:r>
          </w:p>
        </w:tc>
      </w:tr>
      <w:tr>
        <w:tc>
          <w:tcPr>
            <w:tcW w:type="dxa" w:w="3389"/>
            <w:tcMar>
              <w:top w:w="100" w:type="dxa"/>
              <w:start w:w="105" w:type="dxa"/>
              <w:bottom w:w="100"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7"/>
              </w:rPr>
              <w:t>Motion</w:t>
            </w:r>
          </w:p>
        </w:tc>
        <w:tc>
          <w:tcPr>
            <w:tcW w:type="dxa" w:w="3389"/>
            <w:tcMar>
              <w:top w:w="100" w:type="dxa"/>
              <w:start w:w="105" w:type="dxa"/>
              <w:bottom w:w="100"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The Awwwards listing identifies a loading animation and microinteractions among the site elements.</w:t>
            </w:r>
          </w:p>
        </w:tc>
        <w:tc>
          <w:tcPr>
            <w:tcW w:type="dxa" w:w="3389"/>
            <w:tcMar>
              <w:top w:w="100" w:type="dxa"/>
              <w:start w:w="105" w:type="dxa"/>
              <w:bottom w:w="100"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Use short fades and small transitions to clarify state. Avoid motion that delays form completion or hides information.</w:t>
            </w:r>
          </w:p>
        </w:tc>
      </w:tr>
    </w:tbl>
    <w:p>
      <w:pPr>
        <w:pStyle w:val="Heading2"/>
        <w:keepNext/>
        <w:spacing w:before="100" w:after="60"/>
      </w:pPr>
      <w:r>
        <w:rPr>
          <w:rFonts w:ascii="Arial" w:hAnsi="Arial"/>
        </w:rPr>
        <w:t>What to borrow—and what not to copy</w:t>
      </w:r>
    </w:p>
    <w:p>
      <w:pPr>
        <w:pStyle w:val="ListBullet"/>
        <w:spacing w:after="40" w:line="269" w:lineRule="auto"/>
      </w:pPr>
      <w:r>
        <w:rPr>
          <w:rFonts w:ascii="Arial" w:hAnsi="Arial"/>
          <w:color w:val="34483F"/>
          <w:sz w:val="19"/>
        </w:rPr>
        <w:t>Borrow: expressive typography, bright-but-restrained brand color, whitespace, and strong visual rhythm between sections.</w:t>
      </w:r>
    </w:p>
    <w:p>
      <w:pPr>
        <w:pStyle w:val="ListBullet"/>
        <w:spacing w:after="40" w:line="269" w:lineRule="auto"/>
      </w:pPr>
      <w:r>
        <w:rPr>
          <w:rFonts w:ascii="Arial" w:hAnsi="Arial"/>
          <w:color w:val="34483F"/>
          <w:sz w:val="19"/>
        </w:rPr>
        <w:t>Adapt: product galleries become material / container education, sustainability storytelling becomes transparent process guidance, and milestones become measured batch observations only when data exists.</w:t>
      </w:r>
    </w:p>
    <w:p>
      <w:pPr>
        <w:pStyle w:val="ListBullet"/>
        <w:spacing w:after="40" w:line="269" w:lineRule="auto"/>
      </w:pPr>
      <w:r>
        <w:rPr>
          <w:rFonts w:ascii="Arial" w:hAnsi="Arial"/>
          <w:color w:val="34483F"/>
          <w:sz w:val="19"/>
        </w:rPr>
        <w:t>Avoid: copying AMC Natural’s exact composition, assets, brand marks or page structure. Cust-Post should have its own identity and prioritize task completion over brand storytelling.</w:t>
      </w:r>
    </w:p>
    <w:p>
      <w:pPr>
        <w:spacing w:before="80" w:after="0" w:line="283" w:lineRule="auto"/>
      </w:pPr>
      <w:r>
        <w:rPr>
          <w:rFonts w:ascii="Arial" w:hAnsi="Arial"/>
          <w:b w:val="0"/>
          <w:i/>
          <w:color w:val="5E6F65"/>
          <w:sz w:val="17"/>
        </w:rPr>
        <w:t>Font note: the exact typeface used by AMC Natural is not identified in the Awwwards page reviewed here. The type recommendations below are an implementation proposal based on the visible typographic character, not a claim about the original font.</w:t>
      </w:r>
    </w:p>
    <w:p>
      <w:r>
        <w:br w:type="page"/>
      </w:r>
    </w:p>
    <w:p>
      <w:pPr>
        <w:pStyle w:val="Heading1"/>
        <w:keepNext/>
        <w:spacing w:before="160" w:after="100"/>
      </w:pPr>
      <w:r>
        <w:rPr>
          <w:rFonts w:ascii="Arial" w:hAnsi="Arial"/>
        </w:rPr>
        <w:t>02  /  Visual system</w:t>
      </w:r>
    </w:p>
    <w:p>
      <w:pPr>
        <w:pStyle w:val="Heading2"/>
        <w:keepNext/>
        <w:spacing w:before="100" w:after="60"/>
      </w:pPr>
      <w:r>
        <w:rPr>
          <w:rFonts w:ascii="Arial" w:hAnsi="Arial"/>
        </w:rPr>
        <w:t>Color palette</w:t>
      </w:r>
    </w:p>
    <w:p>
      <w:pPr>
        <w:spacing w:before="0" w:after="100" w:line="283" w:lineRule="auto"/>
      </w:pPr>
      <w:r>
        <w:rPr>
          <w:rFonts w:ascii="Arial" w:hAnsi="Arial"/>
          <w:b w:val="0"/>
          <w:i w:val="0"/>
          <w:color w:val="34483F"/>
          <w:sz w:val="19"/>
        </w:rPr>
        <w:t>Treat the reference colors as inspiration, not as the entire product palette. Cust-Post needs warm surfaces for long-form guidance and darker action/status colors for reliable contrast.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99"/>
            <w:vAlign w:val="center"/>
            <w:tcMar>
              <w:top w:w="90" w:type="dxa"/>
              <w:start w:w="120" w:type="dxa"/>
              <w:bottom w:w="90" w:type="dxa"/>
              <w:end w:w="120" w:type="dxa"/>
            </w:tcMar>
            <w:shd w:fill="00664F" w:val="cle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FFFFFF"/>
                <w:sz w:val="17"/>
              </w:rPr>
              <w:t>Token</w:t>
            </w:r>
          </w:p>
        </w:tc>
        <w:tc>
          <w:tcPr>
            <w:tcW w:type="dxa" w:w="1195"/>
            <w:vAlign w:val="center"/>
            <w:tcMar>
              <w:top w:w="90" w:type="dxa"/>
              <w:start w:w="120" w:type="dxa"/>
              <w:bottom w:w="90" w:type="dxa"/>
              <w:end w:w="120" w:type="dxa"/>
            </w:tcMar>
            <w:shd w:fill="00664F" w:val="cle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FFFFFF"/>
                <w:sz w:val="17"/>
              </w:rPr>
              <w:t>Hex</w:t>
            </w:r>
          </w:p>
        </w:tc>
        <w:tc>
          <w:tcPr>
            <w:tcW w:type="dxa" w:w="1469"/>
            <w:vAlign w:val="center"/>
            <w:tcMar>
              <w:top w:w="90" w:type="dxa"/>
              <w:start w:w="120" w:type="dxa"/>
              <w:bottom w:w="90" w:type="dxa"/>
              <w:end w:w="120" w:type="dxa"/>
            </w:tcMar>
            <w:shd w:fill="00664F" w:val="cle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FFFFFF"/>
                <w:sz w:val="17"/>
              </w:rPr>
              <w:t>Swatch</w:t>
            </w:r>
          </w:p>
        </w:tc>
        <w:tc>
          <w:tcPr>
            <w:tcW w:type="dxa" w:w="5645"/>
            <w:vAlign w:val="center"/>
            <w:tcMar>
              <w:top w:w="90" w:type="dxa"/>
              <w:start w:w="120" w:type="dxa"/>
              <w:bottom w:w="90" w:type="dxa"/>
              <w:end w:w="120" w:type="dxa"/>
            </w:tcMar>
            <w:shd w:fill="00664F" w:val="cle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FFFFFF"/>
                <w:sz w:val="17"/>
              </w:rPr>
              <w:t>Usage</w:t>
            </w:r>
          </w:p>
        </w:tc>
      </w:tr>
      <w:tr>
        <w:tc>
          <w:tcPr>
            <w:tcW w:type="dxa" w:w="2541"/>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17372E"/>
                <w:sz w:val="16"/>
              </w:rPr>
              <w:t>AMC reference green</w:t>
            </w:r>
          </w:p>
        </w:tc>
        <w:tc>
          <w:tcPr>
            <w:tcW w:type="dxa" w:w="2541"/>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#009775</w:t>
            </w:r>
          </w:p>
        </w:tc>
        <w:tc>
          <w:tcPr>
            <w:tcW w:type="dxa" w:w="2541"/>
            <w:shd w:fill="009775" w:val="clear"/>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r>
          </w:p>
        </w:tc>
        <w:tc>
          <w:tcPr>
            <w:tcW w:type="dxa" w:w="2541"/>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Brand accent, illustrations, large display emphasis. Avoid small white-on-green body text at this exact value.</w:t>
            </w:r>
          </w:p>
        </w:tc>
      </w:tr>
      <w:tr>
        <w:tc>
          <w:tcPr>
            <w:tcW w:type="dxa" w:w="2541"/>
            <w:shd w:fill="F7F8F2" w:val="clear"/>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17372E"/>
                <w:sz w:val="16"/>
              </w:rPr>
              <w:t>AMC reference marigold</w:t>
            </w:r>
          </w:p>
        </w:tc>
        <w:tc>
          <w:tcPr>
            <w:tcW w:type="dxa" w:w="2541"/>
            <w:shd w:fill="F7F8F2" w:val="clear"/>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#F6B73E</w:t>
            </w:r>
          </w:p>
        </w:tc>
        <w:tc>
          <w:tcPr>
            <w:tcW w:type="dxa" w:w="2541"/>
            <w:shd w:fill="F6B73E" w:val="clear"/>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r>
          </w:p>
        </w:tc>
        <w:tc>
          <w:tcPr>
            <w:tcW w:type="dxa" w:w="2541"/>
            <w:shd w:fill="F7F8F2" w:val="clear"/>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Decorative accent, diagrams, small progress highlights. Pair with dark text; do not use as an alert by itself.</w:t>
            </w:r>
          </w:p>
        </w:tc>
      </w:tr>
      <w:tr>
        <w:tc>
          <w:tcPr>
            <w:tcW w:type="dxa" w:w="2541"/>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17372E"/>
                <w:sz w:val="16"/>
              </w:rPr>
              <w:t>Action green</w:t>
            </w:r>
          </w:p>
        </w:tc>
        <w:tc>
          <w:tcPr>
            <w:tcW w:type="dxa" w:w="2541"/>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#00664F</w:t>
            </w:r>
          </w:p>
        </w:tc>
        <w:tc>
          <w:tcPr>
            <w:tcW w:type="dxa" w:w="2541"/>
            <w:shd w:fill="00664F" w:val="clear"/>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r>
          </w:p>
        </w:tc>
        <w:tc>
          <w:tcPr>
            <w:tcW w:type="dxa" w:w="2541"/>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Primary buttons, focus-safe emphasis, active navigation and confirmed-positive states.</w:t>
            </w:r>
          </w:p>
        </w:tc>
      </w:tr>
      <w:tr>
        <w:tc>
          <w:tcPr>
            <w:tcW w:type="dxa" w:w="2541"/>
            <w:shd w:fill="F7F8F2" w:val="clear"/>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17372E"/>
                <w:sz w:val="16"/>
              </w:rPr>
              <w:t>Warm paper</w:t>
            </w:r>
          </w:p>
        </w:tc>
        <w:tc>
          <w:tcPr>
            <w:tcW w:type="dxa" w:w="2541"/>
            <w:shd w:fill="F7F8F2" w:val="clear"/>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#F8F3E9</w:t>
            </w:r>
          </w:p>
        </w:tc>
        <w:tc>
          <w:tcPr>
            <w:tcW w:type="dxa" w:w="2541"/>
            <w:shd w:fill="F8F3E9" w:val="clear"/>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r>
          </w:p>
        </w:tc>
        <w:tc>
          <w:tcPr>
            <w:tcW w:type="dxa" w:w="2541"/>
            <w:shd w:fill="F7F8F2" w:val="clear"/>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Default app canvas; keeps the natural aesthetic warm without reducing reading contrast.</w:t>
            </w:r>
          </w:p>
        </w:tc>
      </w:tr>
      <w:tr>
        <w:tc>
          <w:tcPr>
            <w:tcW w:type="dxa" w:w="2541"/>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17372E"/>
                <w:sz w:val="16"/>
              </w:rPr>
              <w:t>Surface white</w:t>
            </w:r>
          </w:p>
        </w:tc>
        <w:tc>
          <w:tcPr>
            <w:tcW w:type="dxa" w:w="2541"/>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#FFFDF8</w:t>
            </w:r>
          </w:p>
        </w:tc>
        <w:tc>
          <w:tcPr>
            <w:tcW w:type="dxa" w:w="2541"/>
            <w:shd w:fill="FFFDF8" w:val="clear"/>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r>
          </w:p>
        </w:tc>
        <w:tc>
          <w:tcPr>
            <w:tcW w:type="dxa" w:w="2541"/>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Forms, source panels and data cards sitting on the paper background.</w:t>
            </w:r>
          </w:p>
        </w:tc>
      </w:tr>
      <w:tr>
        <w:tc>
          <w:tcPr>
            <w:tcW w:type="dxa" w:w="2541"/>
            <w:shd w:fill="F7F8F2" w:val="clear"/>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17372E"/>
                <w:sz w:val="16"/>
              </w:rPr>
              <w:t>Soft mint</w:t>
            </w:r>
          </w:p>
        </w:tc>
        <w:tc>
          <w:tcPr>
            <w:tcW w:type="dxa" w:w="2541"/>
            <w:shd w:fill="F7F8F2" w:val="clear"/>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#E4F0E8</w:t>
            </w:r>
          </w:p>
        </w:tc>
        <w:tc>
          <w:tcPr>
            <w:tcW w:type="dxa" w:w="2541"/>
            <w:shd w:fill="E4F0E8" w:val="clear"/>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r>
          </w:p>
        </w:tc>
        <w:tc>
          <w:tcPr>
            <w:tcW w:type="dxa" w:w="2541"/>
            <w:shd w:fill="F7F8F2" w:val="clear"/>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Secondary panels, gentle groupings and illustrative zones.</w:t>
            </w:r>
          </w:p>
        </w:tc>
      </w:tr>
      <w:tr>
        <w:tc>
          <w:tcPr>
            <w:tcW w:type="dxa" w:w="2541"/>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17372E"/>
                <w:sz w:val="16"/>
              </w:rPr>
              <w:t>Ink</w:t>
            </w:r>
          </w:p>
        </w:tc>
        <w:tc>
          <w:tcPr>
            <w:tcW w:type="dxa" w:w="2541"/>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#17372E</w:t>
            </w:r>
          </w:p>
        </w:tc>
        <w:tc>
          <w:tcPr>
            <w:tcW w:type="dxa" w:w="2541"/>
            <w:shd w:fill="17372E" w:val="clear"/>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r>
          </w:p>
        </w:tc>
        <w:tc>
          <w:tcPr>
            <w:tcW w:type="dxa" w:w="2541"/>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Main headings, body text on light surfaces, strong labels.</w:t>
            </w:r>
          </w:p>
        </w:tc>
      </w:tr>
      <w:tr>
        <w:tc>
          <w:tcPr>
            <w:tcW w:type="dxa" w:w="2541"/>
            <w:shd w:fill="F7F8F2" w:val="clear"/>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17372E"/>
                <w:sz w:val="16"/>
              </w:rPr>
              <w:t>Muted text</w:t>
            </w:r>
          </w:p>
        </w:tc>
        <w:tc>
          <w:tcPr>
            <w:tcW w:type="dxa" w:w="2541"/>
            <w:shd w:fill="F7F8F2" w:val="clear"/>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#5E6F65</w:t>
            </w:r>
          </w:p>
        </w:tc>
        <w:tc>
          <w:tcPr>
            <w:tcW w:type="dxa" w:w="2541"/>
            <w:shd w:fill="5E6F65" w:val="clear"/>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r>
          </w:p>
        </w:tc>
        <w:tc>
          <w:tcPr>
            <w:tcW w:type="dxa" w:w="2541"/>
            <w:shd w:fill="F7F8F2" w:val="clear"/>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Secondary descriptions and metadata after contrast testing.</w:t>
            </w:r>
          </w:p>
        </w:tc>
      </w:tr>
      <w:tr>
        <w:tc>
          <w:tcPr>
            <w:tcW w:type="dxa" w:w="2541"/>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17372E"/>
                <w:sz w:val="16"/>
              </w:rPr>
              <w:t>Border</w:t>
            </w:r>
          </w:p>
        </w:tc>
        <w:tc>
          <w:tcPr>
            <w:tcW w:type="dxa" w:w="2541"/>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#D7E1D8</w:t>
            </w:r>
          </w:p>
        </w:tc>
        <w:tc>
          <w:tcPr>
            <w:tcW w:type="dxa" w:w="2541"/>
            <w:shd w:fill="D7E1D8" w:val="clear"/>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r>
          </w:p>
        </w:tc>
        <w:tc>
          <w:tcPr>
            <w:tcW w:type="dxa" w:w="2541"/>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Dividers, field outlines and quiet component boundaries.</w:t>
            </w:r>
          </w:p>
        </w:tc>
      </w:tr>
      <w:tr>
        <w:tc>
          <w:tcPr>
            <w:tcW w:type="dxa" w:w="2541"/>
            <w:shd w:fill="F7F8F2" w:val="clear"/>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17372E"/>
                <w:sz w:val="16"/>
              </w:rPr>
              <w:t>Warning text</w:t>
            </w:r>
          </w:p>
        </w:tc>
        <w:tc>
          <w:tcPr>
            <w:tcW w:type="dxa" w:w="2541"/>
            <w:shd w:fill="F7F8F2" w:val="clear"/>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#8B4A11</w:t>
            </w:r>
          </w:p>
        </w:tc>
        <w:tc>
          <w:tcPr>
            <w:tcW w:type="dxa" w:w="2541"/>
            <w:shd w:fill="8B4A11" w:val="clear"/>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r>
          </w:p>
        </w:tc>
        <w:tc>
          <w:tcPr>
            <w:tcW w:type="dxa" w:w="2541"/>
            <w:shd w:fill="F7F8F2" w:val="clear"/>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Caution labels on pale amber surfaces; always add a word/icon, not color alone.</w:t>
            </w:r>
          </w:p>
        </w:tc>
      </w:tr>
      <w:tr>
        <w:tc>
          <w:tcPr>
            <w:tcW w:type="dxa" w:w="2541"/>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17372E"/>
                <w:sz w:val="16"/>
              </w:rPr>
              <w:t>Error text</w:t>
            </w:r>
          </w:p>
        </w:tc>
        <w:tc>
          <w:tcPr>
            <w:tcW w:type="dxa" w:w="2541"/>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#A12A24</w:t>
            </w:r>
          </w:p>
        </w:tc>
        <w:tc>
          <w:tcPr>
            <w:tcW w:type="dxa" w:w="2541"/>
            <w:shd w:fill="A12A24" w:val="clear"/>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r>
          </w:p>
        </w:tc>
        <w:tc>
          <w:tcPr>
            <w:tcW w:type="dxa" w:w="2541"/>
            <w:tcMar>
              <w:top w:w="65" w:type="dxa"/>
              <w:start w:w="85" w:type="dxa"/>
              <w:bottom w:w="65" w:type="dxa"/>
              <w:end w:w="8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Invalid input / blocking issue copy and error icons; keep the explanation actionable.</w:t>
            </w:r>
          </w:p>
        </w:tc>
      </w:tr>
    </w:tbl>
    <w:p>
      <w:r>
        <w:br w:type="page"/>
      </w:r>
    </w:p>
    <w:p>
      <w:pPr>
        <w:pStyle w:val="Heading2"/>
        <w:keepNext/>
        <w:spacing w:before="100" w:after="60"/>
      </w:pPr>
      <w:r>
        <w:rPr>
          <w:rFonts w:ascii="Arial" w:hAnsi="Arial"/>
        </w:rPr>
        <w:t>Typography</w:t>
      </w:r>
    </w:p>
    <w:tbl>
      <w:tblPr>
        <w:tblW w:type="auto" w:w="0"/>
        <w:jc w:val="center"/>
        <w:tblLayout w:type="fixed"/>
        <w:tblLook w:firstColumn="1" w:firstRow="1" w:lastColumn="0" w:lastRow="0" w:noHBand="0" w:noVBand="1" w:val="04A0"/>
      </w:tblPr>
      <w:tblGrid>
        <w:gridCol w:w="3389"/>
        <w:gridCol w:w="3389"/>
        <w:gridCol w:w="3389"/>
      </w:tblGrid>
      <w:tr>
        <w:tc>
          <w:tcPr>
            <w:tcW w:type="dxa" w:w="1699"/>
            <w:vAlign w:val="center"/>
            <w:tcMar>
              <w:top w:w="90" w:type="dxa"/>
              <w:start w:w="120" w:type="dxa"/>
              <w:bottom w:w="90" w:type="dxa"/>
              <w:end w:w="120" w:type="dxa"/>
            </w:tcMar>
            <w:shd w:fill="00664F" w:val="cle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FFFFFF"/>
                <w:sz w:val="17"/>
              </w:rPr>
              <w:t>Role</w:t>
            </w:r>
          </w:p>
        </w:tc>
        <w:tc>
          <w:tcPr>
            <w:tcW w:type="dxa" w:w="2232"/>
            <w:vAlign w:val="center"/>
            <w:tcMar>
              <w:top w:w="90" w:type="dxa"/>
              <w:start w:w="120" w:type="dxa"/>
              <w:bottom w:w="90" w:type="dxa"/>
              <w:end w:w="120" w:type="dxa"/>
            </w:tcMar>
            <w:shd w:fill="00664F" w:val="cle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FFFFFF"/>
                <w:sz w:val="17"/>
              </w:rPr>
              <w:t>Proposed style</w:t>
            </w:r>
          </w:p>
        </w:tc>
        <w:tc>
          <w:tcPr>
            <w:tcW w:type="dxa" w:w="6077"/>
            <w:vAlign w:val="center"/>
            <w:tcMar>
              <w:top w:w="90" w:type="dxa"/>
              <w:start w:w="120" w:type="dxa"/>
              <w:bottom w:w="90" w:type="dxa"/>
              <w:end w:w="120" w:type="dxa"/>
            </w:tcMar>
            <w:shd w:fill="00664F" w:val="cle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FFFFFF"/>
                <w:sz w:val="17"/>
              </w:rPr>
              <w:t>Rules</w:t>
            </w:r>
          </w:p>
        </w:tc>
      </w:tr>
      <w:tr>
        <w:tc>
          <w:tcPr>
            <w:tcW w:type="dxa" w:w="3389"/>
            <w:shd w:fill="F7F8F2" w:val="clear"/>
            <w:tcMar>
              <w:top w:w="85" w:type="dxa"/>
              <w:start w:w="105" w:type="dxa"/>
              <w:bottom w:w="85"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7"/>
              </w:rPr>
              <w:t>Display / hero</w:t>
            </w:r>
          </w:p>
        </w:tc>
        <w:tc>
          <w:tcPr>
            <w:tcW w:type="dxa" w:w="3389"/>
            <w:shd w:fill="F7F8F2" w:val="clear"/>
            <w:tcMar>
              <w:top w:w="85" w:type="dxa"/>
              <w:start w:w="105" w:type="dxa"/>
              <w:bottom w:w="85"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Manrope, 400–500</w:t>
            </w:r>
          </w:p>
        </w:tc>
        <w:tc>
          <w:tcPr>
            <w:tcW w:type="dxa" w:w="3389"/>
            <w:shd w:fill="F7F8F2" w:val="clear"/>
            <w:tcMar>
              <w:top w:w="85" w:type="dxa"/>
              <w:start w:w="105" w:type="dxa"/>
              <w:bottom w:w="85"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Desktop 64–88 px; mobile 40–52 px; tight line-height around 0.98–1.08; break lines deliberately.</w:t>
            </w:r>
          </w:p>
        </w:tc>
      </w:tr>
      <w:tr>
        <w:tc>
          <w:tcPr>
            <w:tcW w:type="dxa" w:w="3389"/>
            <w:tcMar>
              <w:top w:w="85" w:type="dxa"/>
              <w:start w:w="105" w:type="dxa"/>
              <w:bottom w:w="85"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7"/>
              </w:rPr>
              <w:t>Section heading</w:t>
            </w:r>
          </w:p>
        </w:tc>
        <w:tc>
          <w:tcPr>
            <w:tcW w:type="dxa" w:w="3389"/>
            <w:tcMar>
              <w:top w:w="85" w:type="dxa"/>
              <w:start w:w="105" w:type="dxa"/>
              <w:bottom w:w="85"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Manrope, 500–650</w:t>
            </w:r>
          </w:p>
        </w:tc>
        <w:tc>
          <w:tcPr>
            <w:tcW w:type="dxa" w:w="3389"/>
            <w:tcMar>
              <w:top w:w="85" w:type="dxa"/>
              <w:start w:w="105" w:type="dxa"/>
              <w:bottom w:w="85"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32–44 px desktop; 28–34 px mobile; clear title then one short explanatory sentence.</w:t>
            </w:r>
          </w:p>
        </w:tc>
      </w:tr>
      <w:tr>
        <w:tc>
          <w:tcPr>
            <w:tcW w:type="dxa" w:w="3389"/>
            <w:shd w:fill="F7F8F2" w:val="clear"/>
            <w:tcMar>
              <w:top w:w="85" w:type="dxa"/>
              <w:start w:w="105" w:type="dxa"/>
              <w:bottom w:w="85"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7"/>
              </w:rPr>
              <w:t>Body / forms</w:t>
            </w:r>
          </w:p>
        </w:tc>
        <w:tc>
          <w:tcPr>
            <w:tcW w:type="dxa" w:w="3389"/>
            <w:shd w:fill="F7F8F2" w:val="clear"/>
            <w:tcMar>
              <w:top w:w="85" w:type="dxa"/>
              <w:start w:w="105" w:type="dxa"/>
              <w:bottom w:w="85"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Aptos, Inter or DM Sans, 400–500</w:t>
            </w:r>
          </w:p>
        </w:tc>
        <w:tc>
          <w:tcPr>
            <w:tcW w:type="dxa" w:w="3389"/>
            <w:shd w:fill="F7F8F2" w:val="clear"/>
            <w:tcMar>
              <w:top w:w="85" w:type="dxa"/>
              <w:start w:w="105" w:type="dxa"/>
              <w:bottom w:w="85"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16–18 px body; 14–16 px dense form helper; line-height 1.45–1.6.</w:t>
            </w:r>
          </w:p>
        </w:tc>
      </w:tr>
      <w:tr>
        <w:tc>
          <w:tcPr>
            <w:tcW w:type="dxa" w:w="3389"/>
            <w:tcMar>
              <w:top w:w="85" w:type="dxa"/>
              <w:start w:w="105" w:type="dxa"/>
              <w:bottom w:w="85"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7"/>
              </w:rPr>
              <w:t>Labels / metadata</w:t>
            </w:r>
          </w:p>
        </w:tc>
        <w:tc>
          <w:tcPr>
            <w:tcW w:type="dxa" w:w="3389"/>
            <w:tcMar>
              <w:top w:w="85" w:type="dxa"/>
              <w:start w:w="105" w:type="dxa"/>
              <w:bottom w:w="85"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Same UI family, 500–600</w:t>
            </w:r>
          </w:p>
        </w:tc>
        <w:tc>
          <w:tcPr>
            <w:tcW w:type="dxa" w:w="3389"/>
            <w:tcMar>
              <w:top w:w="85" w:type="dxa"/>
              <w:start w:w="105" w:type="dxa"/>
              <w:bottom w:w="85" w:type="dxa"/>
              <w:end w:w="10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12–14 px; never rely on tiny all-caps text for essential meaning.</w:t>
            </w:r>
          </w:p>
        </w:tc>
      </w:tr>
    </w:tbl>
    <w:p>
      <w:pPr>
        <w:pStyle w:val="Heading2"/>
        <w:keepNext/>
        <w:spacing w:before="100" w:after="60"/>
      </w:pPr>
      <w:r>
        <w:rPr>
          <w:rFonts w:ascii="Arial" w:hAnsi="Arial"/>
        </w:rPr>
        <w:t>Shape, spacing and depth</w:t>
      </w:r>
    </w:p>
    <w:p>
      <w:pPr>
        <w:pStyle w:val="ListBullet"/>
        <w:spacing w:after="40" w:line="269" w:lineRule="auto"/>
      </w:pPr>
      <w:r>
        <w:rPr>
          <w:rFonts w:ascii="Arial" w:hAnsi="Arial"/>
          <w:color w:val="34483F"/>
          <w:sz w:val="19"/>
        </w:rPr>
        <w:t>Grid: 12-column desktop grid; content max-width about 1,200 px; body copy generally capped near 65–75 characters per line.</w:t>
      </w:r>
    </w:p>
    <w:p>
      <w:pPr>
        <w:pStyle w:val="ListBullet"/>
        <w:spacing w:after="40" w:line="269" w:lineRule="auto"/>
      </w:pPr>
      <w:r>
        <w:rPr>
          <w:rFonts w:ascii="Arial" w:hAnsi="Arial"/>
          <w:color w:val="34483F"/>
          <w:sz w:val="19"/>
        </w:rPr>
        <w:t>Spacing: use a 4 px base scale (4 / 8 / 12 / 16 / 24 / 32 / 48 / 64 / 96 px). Give sections generous vertical separation.</w:t>
      </w:r>
    </w:p>
    <w:p>
      <w:pPr>
        <w:pStyle w:val="ListBullet"/>
        <w:spacing w:after="40" w:line="269" w:lineRule="auto"/>
      </w:pPr>
      <w:r>
        <w:rPr>
          <w:rFonts w:ascii="Arial" w:hAnsi="Arial"/>
          <w:color w:val="34483F"/>
          <w:sz w:val="19"/>
        </w:rPr>
        <w:t>Radii: 20–24 px for hero/feature panels, 12–16 px for working cards, 10–12 px for inputs and buttons. Avoid rounding every tiny element.</w:t>
      </w:r>
    </w:p>
    <w:p>
      <w:pPr>
        <w:pStyle w:val="ListBullet"/>
        <w:spacing w:after="40" w:line="269" w:lineRule="auto"/>
      </w:pPr>
      <w:r>
        <w:rPr>
          <w:rFonts w:ascii="Arial" w:hAnsi="Arial"/>
          <w:color w:val="34483F"/>
          <w:sz w:val="19"/>
        </w:rPr>
        <w:t>Borders and shadows: fine warm-gray / green-gray borders first. Shadows should be rare, soft and shallow; no glassmorphism or heavy floating dashboard cards.</w:t>
      </w:r>
    </w:p>
    <w:p>
      <w:pPr>
        <w:pStyle w:val="Heading2"/>
        <w:keepNext/>
        <w:spacing w:before="100" w:after="60"/>
      </w:pPr>
      <w:r>
        <w:rPr>
          <w:rFonts w:ascii="Arial" w:hAnsi="Arial"/>
        </w:rPr>
        <w:t>Visual application rules</w:t>
      </w:r>
    </w:p>
    <w:p>
      <w:pPr>
        <w:pStyle w:val="ListBullet"/>
        <w:spacing w:after="40" w:line="269" w:lineRule="auto"/>
      </w:pPr>
      <w:r>
        <w:rPr>
          <w:rFonts w:ascii="Arial" w:hAnsi="Arial"/>
          <w:color w:val="34483F"/>
          <w:sz w:val="19"/>
        </w:rPr>
        <w:t>Gradient: reserve a soft green-to-marigold bloom for the landing hero or a section transition. Keep text and form surfaces solid and quiet.</w:t>
      </w:r>
    </w:p>
    <w:p>
      <w:pPr>
        <w:pStyle w:val="ListBullet"/>
        <w:spacing w:after="40" w:line="269" w:lineRule="auto"/>
      </w:pPr>
      <w:r>
        <w:rPr>
          <w:rFonts w:ascii="Arial" w:hAnsi="Arial"/>
          <w:color w:val="34483F"/>
          <w:sz w:val="19"/>
        </w:rPr>
        <w:t>Photography: use authentic small-space composting, container and plant imagery. Prefer one clear focal subject to a collage of decorative photos.</w:t>
      </w:r>
    </w:p>
    <w:p>
      <w:pPr>
        <w:pStyle w:val="ListBullet"/>
        <w:spacing w:after="40" w:line="269" w:lineRule="auto"/>
      </w:pPr>
      <w:r>
        <w:rPr>
          <w:rFonts w:ascii="Arial" w:hAnsi="Arial"/>
          <w:color w:val="34483F"/>
          <w:sz w:val="19"/>
        </w:rPr>
        <w:t>Utility screens: reduce editorial flourishes as task complexity increases. The wizard, result state and log should be faster to scan than the marketing page.</w:t>
      </w:r>
    </w:p>
    <w:p>
      <w:r>
        <w:br w:type="page"/>
      </w:r>
    </w:p>
    <w:p>
      <w:pPr>
        <w:pStyle w:val="Heading1"/>
        <w:keepNext/>
        <w:spacing w:before="160" w:after="100"/>
      </w:pPr>
      <w:r>
        <w:rPr>
          <w:rFonts w:ascii="Arial" w:hAnsi="Arial"/>
        </w:rPr>
        <w:t>03  /  Experience architecture</w:t>
      </w:r>
    </w:p>
    <w:p>
      <w:pPr>
        <w:spacing w:before="0" w:after="100" w:line="283" w:lineRule="auto"/>
      </w:pPr>
      <w:r>
        <w:rPr>
          <w:rFonts w:ascii="Arial" w:hAnsi="Arial"/>
          <w:b w:val="0"/>
          <w:i w:val="0"/>
          <w:color w:val="34483F"/>
          <w:sz w:val="20"/>
        </w:rPr>
        <w:t>The public landing page can be expressive; the core product should become progressively more task-oriented. The interface should explain why a recommendation appears and what to do next.</w:t>
      </w:r>
    </w:p>
    <w:p>
      <w:pPr>
        <w:pStyle w:val="Heading2"/>
        <w:keepNext/>
        <w:spacing w:before="100" w:after="60"/>
      </w:pPr>
      <w:r>
        <w:rPr>
          <w:rFonts w:ascii="Arial" w:hAnsi="Arial"/>
        </w:rPr>
        <w:t>Primary navigation</w:t>
      </w:r>
    </w:p>
    <w:tbl>
      <w:tblPr>
        <w:tblW w:type="auto" w:w="0"/>
        <w:jc w:val="center"/>
        <w:tblLayout w:type="fixed"/>
        <w:tblLook w:firstColumn="1" w:firstRow="1" w:lastColumn="0" w:lastRow="0" w:noHBand="0" w:noVBand="1" w:val="04A0"/>
      </w:tblPr>
      <w:tblGrid>
        <w:gridCol w:w="10166"/>
      </w:tblGrid>
      <w:tr>
        <w:tc>
          <w:tcPr>
            <w:tcW w:type="dxa" w:w="10008"/>
            <w:vAlign w:val="center"/>
            <w:tcMar>
              <w:top w:w="145" w:type="dxa"/>
              <w:start w:w="180" w:type="dxa"/>
              <w:bottom w:w="145" w:type="dxa"/>
              <w:end w:w="180" w:type="dxa"/>
            </w:tcMar>
            <w:shd w:fill="F8F3E9" w:val="clear"/>
          </w:tcPr>
          <w:p>
            <w:pPr>
              <w:spacing w:after="40"/>
            </w:pPr>
            <w:r/>
            <w:r>
              <w:rPr>
                <w:rFonts w:ascii="Arial" w:hAnsi="Arial"/>
                <w:b/>
                <w:color w:val="00664F"/>
                <w:sz w:val="20"/>
              </w:rPr>
              <w:t>CUST-POST     Plan setup     My batch     Learn     Sources                         [ Start a setup ]</w:t>
            </w:r>
          </w:p>
          <w:p>
            <w:pPr>
              <w:spacing w:after="0"/>
            </w:pPr>
            <w:r>
              <w:rPr>
                <w:rFonts w:ascii="Arial" w:hAnsi="Arial"/>
                <w:color w:val="5E6F65"/>
                <w:sz w:val="17"/>
              </w:rPr>
              <w:t>Prototype rule: let people inspect the product and begin the setup flow without mandatory account creation. Add accounts only if the pilot proves they are needed for persistent logs.</w:t>
            </w:r>
          </w:p>
        </w:tc>
      </w:tr>
    </w:tbl>
    <w:p>
      <w:pPr>
        <w:pStyle w:val="Heading2"/>
        <w:keepNext/>
        <w:spacing w:before="100" w:after="60"/>
      </w:pPr>
      <w:r>
        <w:rPr>
          <w:rFonts w:ascii="Arial" w:hAnsi="Arial"/>
        </w:rPr>
        <w:t>A. Landing / start</w:t>
      </w:r>
    </w:p>
    <w:p>
      <w:pPr>
        <w:keepNext/>
        <w:spacing w:before="0" w:after="40" w:line="283" w:lineRule="auto"/>
      </w:pPr>
      <w:r>
        <w:rPr>
          <w:rFonts w:ascii="Arial" w:hAnsi="Arial"/>
          <w:b w:val="0"/>
          <w:i w:val="0"/>
          <w:color w:val="34483F"/>
          <w:sz w:val="18"/>
        </w:rPr>
        <w:t>Editorial hero with oversized headline, short value statement, one primary CTA and one secondary link. Pair with an organic gradient field plus a real, simple photo or illustration of a balcony-sized compost setup. Follow with three feature tiles: choose a setup, track a real batch, troubleshoot with context.</w:t>
      </w:r>
    </w:p>
    <w:p>
      <w:pPr>
        <w:spacing w:before="0" w:after="60" w:line="283" w:lineRule="auto"/>
      </w:pPr>
      <w:r>
        <w:rPr>
          <w:rFonts w:ascii="Arial" w:hAnsi="Arial"/>
          <w:b/>
          <w:i w:val="0"/>
          <w:color w:val="00664F"/>
          <w:sz w:val="17"/>
        </w:rPr>
        <w:t xml:space="preserve">Design intent: </w:t>
      </w:r>
      <w:r>
        <w:rPr>
          <w:rFonts w:ascii="Arial" w:hAnsi="Arial"/>
          <w:b w:val="0"/>
          <w:i w:val="0"/>
          <w:color w:val="5E6F65"/>
          <w:sz w:val="17"/>
        </w:rPr>
        <w:t>make the value understandable in under 10 seconds.</w:t>
      </w:r>
    </w:p>
    <w:p>
      <w:pPr>
        <w:pStyle w:val="Heading2"/>
        <w:keepNext/>
        <w:spacing w:before="100" w:after="60"/>
      </w:pPr>
      <w:r>
        <w:rPr>
          <w:rFonts w:ascii="Arial" w:hAnsi="Arial"/>
        </w:rPr>
        <w:t>B. Setup wizard</w:t>
      </w:r>
    </w:p>
    <w:p>
      <w:pPr>
        <w:keepNext/>
        <w:spacing w:before="0" w:after="40" w:line="283" w:lineRule="auto"/>
      </w:pPr>
      <w:r>
        <w:rPr>
          <w:rFonts w:ascii="Arial" w:hAnsi="Arial"/>
          <w:b w:val="0"/>
          <w:i w:val="0"/>
          <w:color w:val="34483F"/>
          <w:sz w:val="18"/>
        </w:rPr>
        <w:t>A five-step sequence: Space → Container → Materials → Method → Review. Keep one main decision per screen. Use clear unit labels, numeric fields with examples and a visible progress stepper. Preserve input when the user navigates back.</w:t>
      </w:r>
    </w:p>
    <w:p>
      <w:pPr>
        <w:spacing w:before="0" w:after="60" w:line="283" w:lineRule="auto"/>
      </w:pPr>
      <w:r>
        <w:rPr>
          <w:rFonts w:ascii="Arial" w:hAnsi="Arial"/>
          <w:b/>
          <w:i w:val="0"/>
          <w:color w:val="00664F"/>
          <w:sz w:val="17"/>
        </w:rPr>
        <w:t xml:space="preserve">Design intent: </w:t>
      </w:r>
      <w:r>
        <w:rPr>
          <w:rFonts w:ascii="Arial" w:hAnsi="Arial"/>
          <w:b w:val="0"/>
          <w:i w:val="0"/>
          <w:color w:val="5E6F65"/>
          <w:sz w:val="17"/>
        </w:rPr>
        <w:t>collect the minimum information needed for a useful recommendation.</w:t>
      </w:r>
    </w:p>
    <w:p>
      <w:pPr>
        <w:pStyle w:val="Heading2"/>
        <w:keepNext/>
        <w:spacing w:before="100" w:after="60"/>
      </w:pPr>
      <w:r>
        <w:rPr>
          <w:rFonts w:ascii="Arial" w:hAnsi="Arial"/>
        </w:rPr>
        <w:t>C. Recommendation</w:t>
      </w:r>
    </w:p>
    <w:p>
      <w:pPr>
        <w:keepNext/>
        <w:spacing w:before="0" w:after="40" w:line="283" w:lineRule="auto"/>
      </w:pPr>
      <w:r>
        <w:rPr>
          <w:rFonts w:ascii="Arial" w:hAnsi="Arial"/>
          <w:b w:val="0"/>
          <w:i w:val="0"/>
          <w:color w:val="34483F"/>
          <w:sz w:val="18"/>
        </w:rPr>
        <w:t>Lead with an explicit result: “Suitable for this reviewed method”, “Suitable with changes”, “Unsuitable for this stated use” or “More information needed”. Present reason, assumptions, missing details, required changes and source/reviewer in distinct blocks.</w:t>
      </w:r>
    </w:p>
    <w:p>
      <w:pPr>
        <w:spacing w:before="0" w:after="60" w:line="283" w:lineRule="auto"/>
      </w:pPr>
      <w:r>
        <w:rPr>
          <w:rFonts w:ascii="Arial" w:hAnsi="Arial"/>
          <w:b/>
          <w:i w:val="0"/>
          <w:color w:val="00664F"/>
          <w:sz w:val="17"/>
        </w:rPr>
        <w:t xml:space="preserve">Design intent: </w:t>
      </w:r>
      <w:r>
        <w:rPr>
          <w:rFonts w:ascii="Arial" w:hAnsi="Arial"/>
          <w:b w:val="0"/>
          <w:i w:val="0"/>
          <w:color w:val="5E6F65"/>
          <w:sz w:val="17"/>
        </w:rPr>
        <w:t>clarity without overclaiming certainty.</w:t>
      </w:r>
    </w:p>
    <w:p>
      <w:pPr>
        <w:pStyle w:val="Heading2"/>
        <w:keepNext/>
        <w:spacing w:before="100" w:after="60"/>
      </w:pPr>
      <w:r>
        <w:rPr>
          <w:rFonts w:ascii="Arial" w:hAnsi="Arial"/>
        </w:rPr>
        <w:t>D. Batch dashboard</w:t>
      </w:r>
    </w:p>
    <w:p>
      <w:pPr>
        <w:keepNext/>
        <w:spacing w:before="0" w:after="40" w:line="283" w:lineRule="auto"/>
      </w:pPr>
      <w:r>
        <w:rPr>
          <w:rFonts w:ascii="Arial" w:hAnsi="Arial"/>
          <w:b w:val="0"/>
          <w:i w:val="0"/>
          <w:color w:val="34483F"/>
          <w:sz w:val="18"/>
        </w:rPr>
        <w:t>Show active batch, start date, latest entry and recent log timeline. Use small observation chips for moisture, odour, pests and temperature (if measured). Every value has a status: measured, estimated, user-reported or unknown.</w:t>
      </w:r>
    </w:p>
    <w:p>
      <w:pPr>
        <w:spacing w:before="0" w:after="60" w:line="283" w:lineRule="auto"/>
      </w:pPr>
      <w:r>
        <w:rPr>
          <w:rFonts w:ascii="Arial" w:hAnsi="Arial"/>
          <w:b/>
          <w:i w:val="0"/>
          <w:color w:val="00664F"/>
          <w:sz w:val="17"/>
        </w:rPr>
        <w:t xml:space="preserve">Design intent: </w:t>
      </w:r>
      <w:r>
        <w:rPr>
          <w:rFonts w:ascii="Arial" w:hAnsi="Arial"/>
          <w:b w:val="0"/>
          <w:i w:val="0"/>
          <w:color w:val="5E6F65"/>
          <w:sz w:val="17"/>
        </w:rPr>
        <w:t>help users observe and act, not imply an unverified readiness score.</w:t>
      </w:r>
    </w:p>
    <w:p>
      <w:pPr>
        <w:pStyle w:val="Heading2"/>
        <w:keepNext/>
        <w:spacing w:before="100" w:after="60"/>
      </w:pPr>
      <w:r>
        <w:rPr>
          <w:rFonts w:ascii="Arial" w:hAnsi="Arial"/>
        </w:rPr>
        <w:t>E. Troubleshooting</w:t>
      </w:r>
    </w:p>
    <w:p>
      <w:pPr>
        <w:keepNext/>
        <w:spacing w:before="0" w:after="40" w:line="283" w:lineRule="auto"/>
      </w:pPr>
      <w:r>
        <w:rPr>
          <w:rFonts w:ascii="Arial" w:hAnsi="Arial"/>
          <w:b w:val="0"/>
          <w:i w:val="0"/>
          <w:color w:val="34483F"/>
          <w:sz w:val="18"/>
        </w:rPr>
        <w:t>Start with observed symptom (for example: too wet, strong odour, pests or little change), then show conditional checks and a next action. Separate “what to inspect” from “what to do”. Give a source link and a follow-up log action.</w:t>
      </w:r>
    </w:p>
    <w:p>
      <w:pPr>
        <w:spacing w:before="0" w:after="60" w:line="283" w:lineRule="auto"/>
      </w:pPr>
      <w:r>
        <w:rPr>
          <w:rFonts w:ascii="Arial" w:hAnsi="Arial"/>
          <w:b/>
          <w:i w:val="0"/>
          <w:color w:val="00664F"/>
          <w:sz w:val="17"/>
        </w:rPr>
        <w:t xml:space="preserve">Design intent: </w:t>
      </w:r>
      <w:r>
        <w:rPr>
          <w:rFonts w:ascii="Arial" w:hAnsi="Arial"/>
          <w:b w:val="0"/>
          <w:i w:val="0"/>
          <w:color w:val="5E6F65"/>
          <w:sz w:val="17"/>
        </w:rPr>
        <w:t>turn confusing symptoms into careful next steps.</w:t>
      </w:r>
    </w:p>
    <w:p>
      <w:pPr>
        <w:pStyle w:val="Heading2"/>
        <w:keepNext/>
        <w:spacing w:before="100" w:after="60"/>
      </w:pPr>
      <w:r>
        <w:rPr>
          <w:rFonts w:ascii="Arial" w:hAnsi="Arial"/>
        </w:rPr>
        <w:t>F. Learn / plant guide</w:t>
      </w:r>
    </w:p>
    <w:p>
      <w:pPr>
        <w:keepNext/>
        <w:spacing w:before="0" w:after="40" w:line="283" w:lineRule="auto"/>
      </w:pPr>
      <w:r>
        <w:rPr>
          <w:rFonts w:ascii="Arial" w:hAnsi="Arial"/>
          <w:b w:val="0"/>
          <w:i w:val="0"/>
          <w:color w:val="34483F"/>
          <w:sz w:val="18"/>
        </w:rPr>
        <w:t>Keep the first release small: up to three expert-reviewed plants. Use editorial image tiles and compact care details. Compost use guidance is conditional on maturity checks and the plant’s needs.</w:t>
      </w:r>
    </w:p>
    <w:p>
      <w:pPr>
        <w:spacing w:before="0" w:after="60" w:line="283" w:lineRule="auto"/>
      </w:pPr>
      <w:r>
        <w:rPr>
          <w:rFonts w:ascii="Arial" w:hAnsi="Arial"/>
          <w:b/>
          <w:i w:val="0"/>
          <w:color w:val="00664F"/>
          <w:sz w:val="17"/>
        </w:rPr>
        <w:t xml:space="preserve">Design intent: </w:t>
      </w:r>
      <w:r>
        <w:rPr>
          <w:rFonts w:ascii="Arial" w:hAnsi="Arial"/>
          <w:b w:val="0"/>
          <w:i w:val="0"/>
          <w:color w:val="5E6F65"/>
          <w:sz w:val="17"/>
        </w:rPr>
        <w:t>connect composting to gardening without expanding into a generic plant encyclopedia.</w:t>
      </w:r>
    </w:p>
    <w:p>
      <w:r>
        <w:br w:type="page"/>
      </w:r>
    </w:p>
    <w:p>
      <w:pPr>
        <w:pStyle w:val="Heading1"/>
        <w:keepNext/>
        <w:spacing w:before="160" w:after="100"/>
      </w:pPr>
      <w:r>
        <w:rPr>
          <w:rFonts w:ascii="Arial" w:hAnsi="Arial"/>
        </w:rPr>
        <w:t>04  /  Component library</w:t>
      </w:r>
    </w:p>
    <w:p>
      <w:pPr>
        <w:spacing w:before="0" w:after="100" w:line="283" w:lineRule="auto"/>
      </w:pPr>
      <w:r>
        <w:rPr>
          <w:rFonts w:ascii="Arial" w:hAnsi="Arial"/>
          <w:b w:val="0"/>
          <w:i w:val="0"/>
          <w:color w:val="34483F"/>
          <w:sz w:val="19"/>
        </w:rPr>
        <w:t>Components should feel related through typography, spacing, corner radii and surface colors—not through decoration added to every element.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59"/>
            <w:vAlign w:val="center"/>
            <w:tcMar>
              <w:top w:w="90" w:type="dxa"/>
              <w:start w:w="120" w:type="dxa"/>
              <w:bottom w:w="90" w:type="dxa"/>
              <w:end w:w="120" w:type="dxa"/>
            </w:tcMar>
            <w:shd w:fill="00664F" w:val="cle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FFFFFF"/>
                <w:sz w:val="17"/>
              </w:rPr>
              <w:t>Component</w:t>
            </w:r>
          </w:p>
        </w:tc>
        <w:tc>
          <w:tcPr>
            <w:tcW w:type="dxa" w:w="5256"/>
            <w:vAlign w:val="center"/>
            <w:tcMar>
              <w:top w:w="90" w:type="dxa"/>
              <w:start w:w="120" w:type="dxa"/>
              <w:bottom w:w="90" w:type="dxa"/>
              <w:end w:w="120" w:type="dxa"/>
            </w:tcMar>
            <w:shd w:fill="00664F" w:val="cle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FFFFFF"/>
                <w:sz w:val="17"/>
              </w:rPr>
              <w:t>Visual / behavior spec</w:t>
            </w:r>
          </w:p>
        </w:tc>
        <w:tc>
          <w:tcPr>
            <w:tcW w:type="dxa" w:w="2693"/>
            <w:vAlign w:val="center"/>
            <w:tcMar>
              <w:top w:w="90" w:type="dxa"/>
              <w:start w:w="120" w:type="dxa"/>
              <w:bottom w:w="90" w:type="dxa"/>
              <w:end w:w="120" w:type="dxa"/>
            </w:tcMar>
            <w:shd w:fill="00664F" w:val="cle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FFFFFF"/>
                <w:sz w:val="17"/>
              </w:rPr>
              <w:t>States to design</w:t>
            </w:r>
          </w:p>
        </w:tc>
      </w:tr>
      <w:tr>
        <w:tc>
          <w:tcPr>
            <w:tcW w:type="dxa" w:w="3389"/>
            <w:shd w:fill="F7F8F2" w:val="clear"/>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6"/>
              </w:rPr>
              <w:t>Primary button</w:t>
            </w:r>
          </w:p>
        </w:tc>
        <w:tc>
          <w:tcPr>
            <w:tcW w:type="dxa" w:w="3389"/>
            <w:shd w:fill="F7F8F2" w:val="clear"/>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Dark green fill; white label; 48–52 px high; compact arrow only when it clarifies navigation. One primary action per panel.</w:t>
            </w:r>
          </w:p>
        </w:tc>
        <w:tc>
          <w:tcPr>
            <w:tcW w:type="dxa" w:w="3389"/>
            <w:shd w:fill="F7F8F2" w:val="clear"/>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Default / hover / focus / disabled / loading</w:t>
            </w:r>
          </w:p>
        </w:tc>
      </w:tr>
      <w:tr>
        <w:tc>
          <w:tcPr>
            <w:tcW w:type="dxa" w:w="3389"/>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6"/>
              </w:rPr>
              <w:t>Secondary button</w:t>
            </w:r>
          </w:p>
        </w:tc>
        <w:tc>
          <w:tcPr>
            <w:tcW w:type="dxa" w:w="3389"/>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Paper or transparent fill with green-gray border. Use for “Back”, “View source” and optional actions.</w:t>
            </w:r>
          </w:p>
        </w:tc>
        <w:tc>
          <w:tcPr>
            <w:tcW w:type="dxa" w:w="3389"/>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Default / hover / focus / disabled</w:t>
            </w:r>
          </w:p>
        </w:tc>
      </w:tr>
      <w:tr>
        <w:tc>
          <w:tcPr>
            <w:tcW w:type="dxa" w:w="3389"/>
            <w:shd w:fill="F7F8F2" w:val="clear"/>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6"/>
              </w:rPr>
              <w:t>Text / number field</w:t>
            </w:r>
          </w:p>
        </w:tc>
        <w:tc>
          <w:tcPr>
            <w:tcW w:type="dxa" w:w="3389"/>
            <w:shd w:fill="F7F8F2" w:val="clear"/>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Label always visible; unit shown explicitly (cm, L, kg); example placeholder only supplements the label. Error copy below the field.</w:t>
            </w:r>
          </w:p>
        </w:tc>
        <w:tc>
          <w:tcPr>
            <w:tcW w:type="dxa" w:w="3389"/>
            <w:shd w:fill="F7F8F2" w:val="clear"/>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Empty / filled / invalid / disabled / focused</w:t>
            </w:r>
          </w:p>
        </w:tc>
      </w:tr>
      <w:tr>
        <w:tc>
          <w:tcPr>
            <w:tcW w:type="dxa" w:w="3389"/>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6"/>
              </w:rPr>
              <w:t>Choice tile</w:t>
            </w:r>
          </w:p>
        </w:tc>
        <w:tc>
          <w:tcPr>
            <w:tcW w:type="dxa" w:w="3389"/>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Short title, one-sentence explanation and optional line icon. Entire tile clickable, but use a visible selected border and check state.</w:t>
            </w:r>
          </w:p>
        </w:tc>
        <w:tc>
          <w:tcPr>
            <w:tcW w:type="dxa" w:w="3389"/>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Unselected / selected / unavailable</w:t>
            </w:r>
          </w:p>
        </w:tc>
      </w:tr>
      <w:tr>
        <w:tc>
          <w:tcPr>
            <w:tcW w:type="dxa" w:w="3389"/>
            <w:shd w:fill="F7F8F2" w:val="clear"/>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6"/>
              </w:rPr>
              <w:t>Progress stepper</w:t>
            </w:r>
          </w:p>
        </w:tc>
        <w:tc>
          <w:tcPr>
            <w:tcW w:type="dxa" w:w="3389"/>
            <w:shd w:fill="F7F8F2" w:val="clear"/>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Five steps with current step, completed steps and concise labels. Never encode progress using green alone.</w:t>
            </w:r>
          </w:p>
        </w:tc>
        <w:tc>
          <w:tcPr>
            <w:tcW w:type="dxa" w:w="3389"/>
            <w:shd w:fill="F7F8F2" w:val="clear"/>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Current / complete / upcoming</w:t>
            </w:r>
          </w:p>
        </w:tc>
      </w:tr>
      <w:tr>
        <w:tc>
          <w:tcPr>
            <w:tcW w:type="dxa" w:w="3389"/>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6"/>
              </w:rPr>
              <w:t>Recommendation status</w:t>
            </w:r>
          </w:p>
        </w:tc>
        <w:tc>
          <w:tcPr>
            <w:tcW w:type="dxa" w:w="3389"/>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Label + icon + plain-language explanation. Use text state, not just a colored pill. Place “Why this result?” near the result.</w:t>
            </w:r>
          </w:p>
        </w:tc>
        <w:tc>
          <w:tcPr>
            <w:tcW w:type="dxa" w:w="3389"/>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Suitable / changes needed / unsuitable / unknown</w:t>
            </w:r>
          </w:p>
        </w:tc>
      </w:tr>
      <w:tr>
        <w:tc>
          <w:tcPr>
            <w:tcW w:type="dxa" w:w="3389"/>
            <w:shd w:fill="F7F8F2" w:val="clear"/>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6"/>
              </w:rPr>
              <w:t>Source / rule card</w:t>
            </w:r>
          </w:p>
        </w:tc>
        <w:tc>
          <w:tcPr>
            <w:tcW w:type="dxa" w:w="3389"/>
            <w:shd w:fill="F7F8F2" w:val="clear"/>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Source title, organization, reviewed date, applicable rule/version and one short rationale. Link out only after the user sees why the source matters.</w:t>
            </w:r>
          </w:p>
        </w:tc>
        <w:tc>
          <w:tcPr>
            <w:tcW w:type="dxa" w:w="3389"/>
            <w:shd w:fill="F7F8F2" w:val="clear"/>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Loaded / source unavailable / review overdue</w:t>
            </w:r>
          </w:p>
        </w:tc>
      </w:tr>
      <w:tr>
        <w:tc>
          <w:tcPr>
            <w:tcW w:type="dxa" w:w="3389"/>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6"/>
              </w:rPr>
              <w:t>Observation chip</w:t>
            </w:r>
          </w:p>
        </w:tc>
        <w:tc>
          <w:tcPr>
            <w:tcW w:type="dxa" w:w="3389"/>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Compact label-value pair such as “Moisture · Too wet” or “Temperature · Not measured”. Distinguish missing data from zero.</w:t>
            </w:r>
          </w:p>
        </w:tc>
        <w:tc>
          <w:tcPr>
            <w:tcW w:type="dxa" w:w="3389"/>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Measured / estimated / user-reported / unknown</w:t>
            </w:r>
          </w:p>
        </w:tc>
      </w:tr>
      <w:tr>
        <w:tc>
          <w:tcPr>
            <w:tcW w:type="dxa" w:w="3389"/>
            <w:shd w:fill="F7F8F2" w:val="clear"/>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6"/>
              </w:rPr>
              <w:t>Batch timeline row</w:t>
            </w:r>
          </w:p>
        </w:tc>
        <w:tc>
          <w:tcPr>
            <w:tcW w:type="dxa" w:w="3389"/>
            <w:shd w:fill="F7F8F2" w:val="clear"/>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Date, observation, action taken and optional short note. Keep history scannable and preserve chronology.</w:t>
            </w:r>
          </w:p>
        </w:tc>
        <w:tc>
          <w:tcPr>
            <w:tcW w:type="dxa" w:w="3389"/>
            <w:shd w:fill="F7F8F2" w:val="clear"/>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Normal / edited / missing follow-up</w:t>
            </w:r>
          </w:p>
        </w:tc>
      </w:tr>
      <w:tr>
        <w:tc>
          <w:tcPr>
            <w:tcW w:type="dxa" w:w="3389"/>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6"/>
              </w:rPr>
              <w:t>Toast / inline notice</w:t>
            </w:r>
          </w:p>
        </w:tc>
        <w:tc>
          <w:tcPr>
            <w:tcW w:type="dxa" w:w="3389"/>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Use inline alerts for decisions and form errors; toast only for low-risk confirmation such as “Log saved”.</w:t>
            </w:r>
          </w:p>
        </w:tc>
        <w:tc>
          <w:tcPr>
            <w:tcW w:type="dxa" w:w="3389"/>
            <w:tcMar>
              <w:top w:w="75" w:type="dxa"/>
              <w:start w:w="90" w:type="dxa"/>
              <w:bottom w:w="75" w:type="dxa"/>
              <w:end w:w="9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6"/>
              </w:rPr>
              <w:t>Success / warning / error / info</w:t>
            </w:r>
          </w:p>
        </w:tc>
      </w:tr>
    </w:tbl>
    <w:p>
      <w:pPr>
        <w:pStyle w:val="Heading2"/>
        <w:keepNext/>
        <w:spacing w:before="100" w:after="60"/>
      </w:pPr>
      <w:r>
        <w:rPr>
          <w:rFonts w:ascii="Arial" w:hAnsi="Arial"/>
        </w:rPr>
        <w:t>Recommendation result language</w:t>
      </w:r>
    </w:p>
    <w:tbl>
      <w:tblPr>
        <w:tblW w:type="auto" w:w="0"/>
        <w:jc w:val="center"/>
        <w:tblLayout w:type="fixed"/>
        <w:tblLook w:firstColumn="1" w:firstRow="1" w:lastColumn="0" w:lastRow="0" w:noHBand="0" w:noVBand="1" w:val="04A0"/>
      </w:tblPr>
      <w:tblGrid>
        <w:gridCol w:w="5083"/>
        <w:gridCol w:w="5083"/>
      </w:tblGrid>
      <w:tr>
        <w:tc>
          <w:tcPr>
            <w:tcW w:type="dxa" w:w="2592"/>
            <w:vAlign w:val="center"/>
            <w:tcMar>
              <w:top w:w="95" w:type="dxa"/>
              <w:start w:w="115" w:type="dxa"/>
              <w:bottom w:w="95" w:type="dxa"/>
              <w:end w:w="115" w:type="dxa"/>
            </w:tcMar>
            <w:shd w:fill="E4F0E8" w:val="cle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7"/>
              </w:rPr>
              <w:t>Suitable for reviewed method</w:t>
            </w:r>
          </w:p>
        </w:tc>
        <w:tc>
          <w:tcPr>
            <w:tcW w:type="dxa" w:w="7416"/>
            <w:vAlign w:val="center"/>
            <w:tcMar>
              <w:top w:w="95" w:type="dxa"/>
              <w:start w:w="115" w:type="dxa"/>
              <w:bottom w:w="95" w:type="dxa"/>
              <w:end w:w="115" w:type="dxa"/>
            </w:tcMar>
            <w:shd w:fill="FFFDF8" w:val="cle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Use only when all required conditions in the reviewed rule set are satisfied. State which method and the main reasons.</w:t>
            </w:r>
          </w:p>
        </w:tc>
      </w:tr>
      <w:tr>
        <w:tc>
          <w:tcPr>
            <w:tcW w:type="dxa" w:w="5083"/>
            <w:shd w:fill="FFF0C8" w:val="clear"/>
            <w:tcMar>
              <w:top w:w="95" w:type="dxa"/>
              <w:start w:w="115" w:type="dxa"/>
              <w:bottom w:w="95" w:type="dxa"/>
              <w:end w:w="11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7"/>
              </w:rPr>
              <w:t>Suitable with changes</w:t>
            </w:r>
          </w:p>
        </w:tc>
        <w:tc>
          <w:tcPr>
            <w:tcW w:type="dxa" w:w="5083"/>
            <w:shd w:fill="F7F8F2" w:val="clear"/>
            <w:tcMar>
              <w:top w:w="95" w:type="dxa"/>
              <w:start w:w="115" w:type="dxa"/>
              <w:bottom w:w="95" w:type="dxa"/>
              <w:end w:w="11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Describe each required fix before proceeding, such as improving ventilation or changing placement, only when supported by the reviewed rules.</w:t>
            </w:r>
          </w:p>
        </w:tc>
      </w:tr>
      <w:tr>
        <w:tc>
          <w:tcPr>
            <w:tcW w:type="dxa" w:w="5083"/>
            <w:shd w:fill="FBE8E5" w:val="clear"/>
            <w:tcMar>
              <w:top w:w="95" w:type="dxa"/>
              <w:start w:w="115" w:type="dxa"/>
              <w:bottom w:w="95" w:type="dxa"/>
              <w:end w:w="11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7"/>
              </w:rPr>
              <w:t>Unsuitable for stated use</w:t>
            </w:r>
          </w:p>
        </w:tc>
        <w:tc>
          <w:tcPr>
            <w:tcW w:type="dxa" w:w="5083"/>
            <w:shd w:fill="FFFDF8" w:val="clear"/>
            <w:tcMar>
              <w:top w:w="95" w:type="dxa"/>
              <w:start w:w="115" w:type="dxa"/>
              <w:bottom w:w="95" w:type="dxa"/>
              <w:end w:w="11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Explain the specific incompatibility and, where supported, offer a safer alternative path. Do not imply the object is unsafe for every possible use.</w:t>
            </w:r>
          </w:p>
        </w:tc>
      </w:tr>
      <w:tr>
        <w:tc>
          <w:tcPr>
            <w:tcW w:type="dxa" w:w="5083"/>
            <w:shd w:fill="EAF1F5" w:val="clear"/>
            <w:tcMar>
              <w:top w:w="95" w:type="dxa"/>
              <w:start w:w="115" w:type="dxa"/>
              <w:bottom w:w="95" w:type="dxa"/>
              <w:end w:w="11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7"/>
              </w:rPr>
              <w:t>More information needed</w:t>
            </w:r>
          </w:p>
        </w:tc>
        <w:tc>
          <w:tcPr>
            <w:tcW w:type="dxa" w:w="5083"/>
            <w:shd w:fill="F7F8F2" w:val="clear"/>
            <w:tcMar>
              <w:top w:w="95" w:type="dxa"/>
              <w:start w:w="115" w:type="dxa"/>
              <w:bottom w:w="95" w:type="dxa"/>
              <w:end w:w="11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List exactly what is unknown and why it matters. Preserve unknown values rather than defaulting them to safe.</w:t>
            </w:r>
          </w:p>
        </w:tc>
      </w:tr>
    </w:tbl>
    <w:p>
      <w:pPr>
        <w:pStyle w:val="Heading1"/>
        <w:keepNext/>
        <w:spacing w:before="160" w:after="100"/>
      </w:pPr>
      <w:r>
        <w:rPr>
          <w:rFonts w:ascii="Arial" w:hAnsi="Arial"/>
        </w:rPr>
        <w:t>05  /  Interaction, accessibility and trust</w:t>
      </w:r>
    </w:p>
    <w:p>
      <w:pPr>
        <w:pStyle w:val="Heading2"/>
        <w:keepNext/>
        <w:spacing w:before="100" w:after="60"/>
      </w:pPr>
      <w:r>
        <w:rPr>
          <w:rFonts w:ascii="Arial" w:hAnsi="Arial"/>
        </w:rPr>
        <w:t>Motion and feedback</w:t>
      </w:r>
    </w:p>
    <w:p>
      <w:pPr>
        <w:pStyle w:val="ListBullet"/>
        <w:spacing w:after="40" w:line="269" w:lineRule="auto"/>
      </w:pPr>
      <w:r>
        <w:rPr>
          <w:rFonts w:ascii="Arial" w:hAnsi="Arial"/>
          <w:color w:val="34483F"/>
          <w:sz w:val="19"/>
        </w:rPr>
        <w:t>Use 180–280 ms transitions for button, card and accordion states. Prefer opacity / transform changes over large animated movement.</w:t>
      </w:r>
    </w:p>
    <w:p>
      <w:pPr>
        <w:pStyle w:val="ListBullet"/>
        <w:spacing w:after="40" w:line="269" w:lineRule="auto"/>
      </w:pPr>
      <w:r>
        <w:rPr>
          <w:rFonts w:ascii="Arial" w:hAnsi="Arial"/>
          <w:color w:val="34483F"/>
          <w:sz w:val="19"/>
        </w:rPr>
        <w:t>The hero may use a gentle, slow color bloom or image reveal; the setup wizard must never wait for decorative motion before becoming usable.</w:t>
      </w:r>
    </w:p>
    <w:p>
      <w:pPr>
        <w:pStyle w:val="ListBullet"/>
        <w:spacing w:after="40" w:line="269" w:lineRule="auto"/>
      </w:pPr>
      <w:r>
        <w:rPr>
          <w:rFonts w:ascii="Arial" w:hAnsi="Arial"/>
          <w:color w:val="34483F"/>
          <w:sz w:val="19"/>
        </w:rPr>
        <w:t>Provide reduced-motion support. Do not use parallax, looping animation or celebration effects in safety-sensitive results.</w:t>
      </w:r>
    </w:p>
    <w:p>
      <w:pPr>
        <w:pStyle w:val="ListBullet"/>
        <w:spacing w:after="40" w:line="269" w:lineRule="auto"/>
      </w:pPr>
      <w:r>
        <w:rPr>
          <w:rFonts w:ascii="Arial" w:hAnsi="Arial"/>
          <w:color w:val="34483F"/>
          <w:sz w:val="19"/>
        </w:rPr>
        <w:t>Every asynchronous action needs visible feedback: loading, success, recoverable error and retry. Never leave a submit button apparently inert.</w:t>
      </w:r>
    </w:p>
    <w:p>
      <w:pPr>
        <w:pStyle w:val="Heading2"/>
        <w:keepNext/>
        <w:spacing w:before="100" w:after="60"/>
      </w:pPr>
      <w:r>
        <w:rPr>
          <w:rFonts w:ascii="Arial" w:hAnsi="Arial"/>
        </w:rPr>
        <w:t>Responsive behavior</w:t>
      </w:r>
    </w:p>
    <w:tbl>
      <w:tblPr>
        <w:tblW w:type="auto" w:w="0"/>
        <w:jc w:val="center"/>
        <w:tblLayout w:type="fixed"/>
        <w:tblLook w:firstColumn="1" w:firstRow="1" w:lastColumn="0" w:lastRow="0" w:noHBand="0" w:noVBand="1" w:val="04A0"/>
      </w:tblPr>
      <w:tblGrid>
        <w:gridCol w:w="3389"/>
        <w:gridCol w:w="3389"/>
        <w:gridCol w:w="3389"/>
      </w:tblGrid>
      <w:tr>
        <w:tc>
          <w:tcPr>
            <w:tcW w:type="dxa" w:w="3312"/>
            <w:vAlign w:val="center"/>
            <w:tcMar>
              <w:top w:w="90" w:type="dxa"/>
              <w:start w:w="120" w:type="dxa"/>
              <w:bottom w:w="90" w:type="dxa"/>
              <w:end w:w="120" w:type="dxa"/>
            </w:tcMar>
            <w:shd w:fill="00664F" w:val="cle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FFFFFF"/>
                <w:sz w:val="17"/>
              </w:rPr>
              <w:t>Desktop  ≥ 1024 px</w:t>
            </w:r>
          </w:p>
        </w:tc>
        <w:tc>
          <w:tcPr>
            <w:tcW w:type="dxa" w:w="3312"/>
            <w:vAlign w:val="center"/>
            <w:tcMar>
              <w:top w:w="90" w:type="dxa"/>
              <w:start w:w="120" w:type="dxa"/>
              <w:bottom w:w="90" w:type="dxa"/>
              <w:end w:w="120" w:type="dxa"/>
            </w:tcMar>
            <w:shd w:fill="00664F" w:val="cle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FFFFFF"/>
                <w:sz w:val="17"/>
              </w:rPr>
              <w:t>Tablet  768–1023 px</w:t>
            </w:r>
          </w:p>
        </w:tc>
        <w:tc>
          <w:tcPr>
            <w:tcW w:type="dxa" w:w="3312"/>
            <w:vAlign w:val="center"/>
            <w:tcMar>
              <w:top w:w="90" w:type="dxa"/>
              <w:start w:w="120" w:type="dxa"/>
              <w:bottom w:w="90" w:type="dxa"/>
              <w:end w:w="120" w:type="dxa"/>
            </w:tcMar>
            <w:shd w:fill="00664F" w:val="cle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FFFFFF"/>
                <w:sz w:val="17"/>
              </w:rPr>
              <w:t>Mobile  &lt; 768 px</w:t>
            </w:r>
          </w:p>
        </w:tc>
      </w:tr>
      <w:tr>
        <w:tc>
          <w:tcPr>
            <w:tcW w:type="dxa" w:w="3389"/>
            <w:shd w:fill="F7F8F2" w:val="clear"/>
            <w:tcMar>
              <w:top w:w="120" w:type="dxa"/>
              <w:start w:w="135" w:type="dxa"/>
              <w:bottom w:w="120" w:type="dxa"/>
              <w:end w:w="13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Editorial 12-column layout; two-column hero; result cards can sit beside a setup summary; max width around 1,200 px.</w:t>
            </w:r>
          </w:p>
        </w:tc>
        <w:tc>
          <w:tcPr>
            <w:tcW w:type="dxa" w:w="3389"/>
            <w:shd w:fill="FFFDF8" w:val="clear"/>
            <w:tcMar>
              <w:top w:w="120" w:type="dxa"/>
              <w:start w:w="135" w:type="dxa"/>
              <w:bottom w:w="120" w:type="dxa"/>
              <w:end w:w="13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Reduce hero copy width; use two-column form layouts only for short related fields; collapse nav secondary links.</w:t>
            </w:r>
          </w:p>
        </w:tc>
        <w:tc>
          <w:tcPr>
            <w:tcW w:type="dxa" w:w="3389"/>
            <w:shd w:fill="F7F8F2" w:val="clear"/>
            <w:tcMar>
              <w:top w:w="120" w:type="dxa"/>
              <w:start w:w="135" w:type="dxa"/>
              <w:bottom w:w="120" w:type="dxa"/>
              <w:end w:w="135"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Single-column tasks; sticky bottom primary CTA only where it does not cover inputs; full-width fields and cards; touch targets ≥ 44 px.</w:t>
            </w:r>
          </w:p>
        </w:tc>
      </w:tr>
    </w:tbl>
    <w:p>
      <w:pPr>
        <w:pStyle w:val="Heading2"/>
        <w:keepNext/>
        <w:spacing w:before="100" w:after="60"/>
      </w:pPr>
      <w:r>
        <w:rPr>
          <w:rFonts w:ascii="Arial" w:hAnsi="Arial"/>
        </w:rPr>
        <w:t>Accessibility requirements</w:t>
      </w:r>
    </w:p>
    <w:p>
      <w:pPr>
        <w:pStyle w:val="ListBullet"/>
        <w:spacing w:after="40" w:line="269" w:lineRule="auto"/>
      </w:pPr>
      <w:r>
        <w:rPr>
          <w:rFonts w:ascii="Arial" w:hAnsi="Arial"/>
          <w:color w:val="34483F"/>
          <w:sz w:val="19"/>
        </w:rPr>
        <w:t>Aim for WCAG 2.2 AA contrast for text and essential controls. The reference green and yellow are brand accents; use darker green for small text and actions where required.</w:t>
      </w:r>
    </w:p>
    <w:p>
      <w:pPr>
        <w:pStyle w:val="ListBullet"/>
        <w:spacing w:after="40" w:line="269" w:lineRule="auto"/>
      </w:pPr>
      <w:r>
        <w:rPr>
          <w:rFonts w:ascii="Arial" w:hAnsi="Arial"/>
          <w:color w:val="34483F"/>
          <w:sz w:val="19"/>
        </w:rPr>
        <w:t>Do not communicate result or alert status through color alone. Pair color with a plain label, an icon and explanatory text.</w:t>
      </w:r>
    </w:p>
    <w:p>
      <w:pPr>
        <w:pStyle w:val="ListBullet"/>
        <w:spacing w:after="40" w:line="269" w:lineRule="auto"/>
      </w:pPr>
      <w:r>
        <w:rPr>
          <w:rFonts w:ascii="Arial" w:hAnsi="Arial"/>
          <w:color w:val="34483F"/>
          <w:sz w:val="19"/>
        </w:rPr>
        <w:t>Support keyboard-only operation, visible focus, logical tab order, semantic headings, accessible field labels and programmatically announced errors.</w:t>
      </w:r>
    </w:p>
    <w:p>
      <w:pPr>
        <w:pStyle w:val="ListBullet"/>
        <w:spacing w:after="40" w:line="269" w:lineRule="auto"/>
      </w:pPr>
      <w:r>
        <w:rPr>
          <w:rFonts w:ascii="Arial" w:hAnsi="Arial"/>
          <w:color w:val="34483F"/>
          <w:sz w:val="19"/>
        </w:rPr>
        <w:t>Use 44 × 44 px minimum practical touch targets; never make the form dependent on hover. Provide meaningful alt text for informative images.</w:t>
      </w:r>
    </w:p>
    <w:p>
      <w:pPr>
        <w:pStyle w:val="Heading2"/>
        <w:keepNext/>
        <w:spacing w:before="100" w:after="60"/>
      </w:pPr>
      <w:r>
        <w:rPr>
          <w:rFonts w:ascii="Arial" w:hAnsi="Arial"/>
        </w:rPr>
        <w:t>Content voice</w:t>
      </w:r>
    </w:p>
    <w:tbl>
      <w:tblPr>
        <w:tblW w:type="auto" w:w="0"/>
        <w:jc w:val="center"/>
        <w:tblLayout w:type="fixed"/>
        <w:tblLook w:firstColumn="1" w:firstRow="1" w:lastColumn="0" w:lastRow="0" w:noHBand="0" w:noVBand="1" w:val="04A0"/>
      </w:tblPr>
      <w:tblGrid>
        <w:gridCol w:w="5083"/>
        <w:gridCol w:w="5083"/>
      </w:tblGrid>
      <w:tr>
        <w:tc>
          <w:tcPr>
            <w:tcW w:type="dxa" w:w="4968"/>
            <w:vAlign w:val="center"/>
            <w:tcMar>
              <w:top w:w="90" w:type="dxa"/>
              <w:start w:w="120" w:type="dxa"/>
              <w:bottom w:w="90" w:type="dxa"/>
              <w:end w:w="120" w:type="dxa"/>
            </w:tcMar>
            <w:shd w:fill="00664F" w:val="cle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FFFFFF"/>
                <w:sz w:val="18"/>
              </w:rPr>
              <w:t>Prefer</w:t>
            </w:r>
          </w:p>
        </w:tc>
        <w:tc>
          <w:tcPr>
            <w:tcW w:type="dxa" w:w="4968"/>
            <w:vAlign w:val="center"/>
            <w:tcMar>
              <w:top w:w="90" w:type="dxa"/>
              <w:start w:w="120" w:type="dxa"/>
              <w:bottom w:w="90" w:type="dxa"/>
              <w:end w:w="120" w:type="dxa"/>
            </w:tcMar>
            <w:shd w:fill="00664F" w:val="cle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FFFFFF"/>
                <w:sz w:val="18"/>
              </w:rPr>
              <w:t>Avoid</w:t>
            </w:r>
          </w:p>
        </w:tc>
      </w:tr>
      <w:tr>
        <w:trPr>
          <w:cantSplit/>
        </w:trPr>
        <w:tc>
          <w:tcPr>
            <w:tcW w:type="dxa" w:w="5083"/>
            <w:shd w:fill="E4F0E8" w:val="clear"/>
            <w:tcMar>
              <w:top w:w="125" w:type="dxa"/>
              <w:start w:w="150" w:type="dxa"/>
              <w:bottom w:w="125" w:type="dxa"/>
              <w:end w:w="15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8"/>
              </w:rPr>
              <w:t>“This may suit your available space because…”</w:t>
              <w:br/>
              <w:t>“Before continuing, check…”</w:t>
              <w:br/>
              <w:t>“Not measured yet”</w:t>
              <w:br/>
              <w:t>“Here is the source behind this recommendation.”</w:t>
            </w:r>
          </w:p>
        </w:tc>
        <w:tc>
          <w:tcPr>
            <w:tcW w:type="dxa" w:w="5083"/>
            <w:shd w:fill="FBE8E5" w:val="clear"/>
            <w:tcMar>
              <w:top w:w="125" w:type="dxa"/>
              <w:start w:w="150" w:type="dxa"/>
              <w:bottom w:w="125" w:type="dxa"/>
              <w:end w:w="15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8"/>
              </w:rPr>
              <w:t>“Guaranteed safe”</w:t>
              <w:br/>
              <w:t>“Your compost will be ready in 21 days”</w:t>
              <w:br/>
              <w:t>“Perfect compost”</w:t>
              <w:br/>
              <w:t>“AI says this is safe”</w:t>
            </w:r>
          </w:p>
        </w:tc>
      </w:tr>
    </w:tbl>
    <w:p>
      <w:pPr>
        <w:pStyle w:val="Heading2"/>
        <w:keepNext/>
        <w:spacing w:before="100" w:after="60"/>
      </w:pPr>
      <w:r>
        <w:rPr>
          <w:rFonts w:ascii="Arial" w:hAnsi="Arial"/>
        </w:rPr>
        <w:t>Privacy and evidence presentation</w:t>
      </w:r>
    </w:p>
    <w:p>
      <w:pPr>
        <w:pStyle w:val="ListBullet"/>
        <w:spacing w:after="40" w:line="269" w:lineRule="auto"/>
      </w:pPr>
      <w:r>
        <w:rPr>
          <w:rFonts w:ascii="Arial" w:hAnsi="Arial"/>
          <w:color w:val="34483F"/>
          <w:sz w:val="19"/>
        </w:rPr>
        <w:t>Do not require precise address for the first MVP unless it changes the guidance; use broad context such as indoor / balcony / terrace / garden.</w:t>
      </w:r>
    </w:p>
    <w:p>
      <w:pPr>
        <w:pStyle w:val="ListBullet"/>
        <w:spacing w:after="40" w:line="269" w:lineRule="auto"/>
      </w:pPr>
      <w:r>
        <w:rPr>
          <w:rFonts w:ascii="Arial" w:hAnsi="Arial"/>
          <w:color w:val="34483F"/>
          <w:sz w:val="19"/>
        </w:rPr>
        <w:t>Photos are optional. Ask consent before collecting identifying images, keep them private by default and provide a deletion path.</w:t>
      </w:r>
    </w:p>
    <w:p>
      <w:pPr>
        <w:pStyle w:val="ListBullet"/>
        <w:spacing w:after="40" w:line="269" w:lineRule="auto"/>
      </w:pPr>
      <w:r>
        <w:rPr>
          <w:rFonts w:ascii="Arial" w:hAnsi="Arial"/>
          <w:color w:val="34483F"/>
          <w:sz w:val="19"/>
        </w:rPr>
        <w:t>Show source/reviewer provenance for safety-sensitive rules. Indicate the rule version and last-reviewed date where practical.</w:t>
      </w:r>
    </w:p>
    <w:p>
      <w:pPr>
        <w:pStyle w:val="ListBullet"/>
        <w:spacing w:after="40" w:line="269" w:lineRule="auto"/>
      </w:pPr>
      <w:r>
        <w:rPr>
          <w:rFonts w:ascii="Arial" w:hAnsi="Arial"/>
          <w:color w:val="34483F"/>
          <w:sz w:val="19"/>
        </w:rPr>
        <w:t>Label all quantity data as measured, estimated or user-reported. Environmental impact claims must be tied to documented input and outcomes, not registrations or app usage.</w:t>
      </w:r>
    </w:p>
    <w:p>
      <w:r>
        <w:br w:type="page"/>
      </w:r>
    </w:p>
    <w:p>
      <w:pPr>
        <w:pStyle w:val="Heading1"/>
        <w:keepNext/>
        <w:spacing w:before="160" w:after="100"/>
      </w:pPr>
      <w:r>
        <w:rPr>
          <w:rFonts w:ascii="Arial" w:hAnsi="Arial"/>
        </w:rPr>
        <w:t>06  /  Implementation handoff</w:t>
      </w:r>
    </w:p>
    <w:p>
      <w:pPr>
        <w:pStyle w:val="Heading2"/>
        <w:keepNext/>
        <w:spacing w:before="100" w:after="60"/>
      </w:pPr>
      <w:r>
        <w:rPr>
          <w:rFonts w:ascii="Arial" w:hAnsi="Arial"/>
        </w:rPr>
        <w:t>Token starter set</w:t>
      </w:r>
    </w:p>
    <w:tbl>
      <w:tblPr>
        <w:tblW w:type="auto" w:w="0"/>
        <w:jc w:val="center"/>
        <w:tblLayout w:type="fixed"/>
        <w:tblLook w:firstColumn="1" w:firstRow="1" w:lastColumn="0" w:lastRow="0" w:noHBand="0" w:noVBand="1" w:val="04A0"/>
      </w:tblPr>
      <w:tblGrid>
        <w:gridCol w:w="10166"/>
      </w:tblGrid>
      <w:tr>
        <w:tc>
          <w:tcPr>
            <w:tcW w:type="dxa" w:w="10008"/>
            <w:vAlign w:val="center"/>
            <w:tcMar>
              <w:top w:w="125" w:type="dxa"/>
              <w:start w:w="170" w:type="dxa"/>
              <w:bottom w:w="125" w:type="dxa"/>
              <w:end w:w="170" w:type="dxa"/>
            </w:tcMar>
            <w:shd w:fill="F2F4EE" w:val="clear"/>
          </w:tcPr>
          <w:p>
            <w:pPr>
              <w:spacing w:after="0" w:line="269" w:lineRule="auto"/>
            </w:pPr>
            <w:r/>
            <w:r>
              <w:rPr>
                <w:rFonts w:ascii="Courier New" w:hAnsi="Courier New"/>
                <w:color w:val="17372E"/>
                <w:sz w:val="17"/>
              </w:rPr>
              <w:t>:root {</w:t>
              <w:br/>
              <w:t xml:space="preserve">  --color-brand: #009775; --color-action: #00664F; --color-accent: #F6B73E;</w:t>
              <w:br/>
              <w:t xml:space="preserve">  --color-canvas: #F8F3E9; --color-surface: #FFFDF8; --color-mint: #E4F0E8;</w:t>
              <w:br/>
              <w:t xml:space="preserve">  --color-ink: #17372E; --color-text: #34483F; --color-muted: #5E6F65;</w:t>
              <w:br/>
              <w:t xml:space="preserve">  --color-border: #D7E1D8;</w:t>
              <w:br/>
              <w:t xml:space="preserve">  --radius-panel: 22px; --radius-card: 16px; --radius-control: 12px;</w:t>
              <w:br/>
              <w:t xml:space="preserve">  --space-1: 4px; --space-2: 8px; --space-3: 12px; --space-4: 16px;</w:t>
              <w:br/>
              <w:t xml:space="preserve">  --space-6: 24px; --space-8: 32px; --content-max: 1200px;</w:t>
              <w:br/>
              <w:t>}</w:t>
            </w:r>
          </w:p>
        </w:tc>
      </w:tr>
    </w:tbl>
    <w:p>
      <w:pPr>
        <w:pStyle w:val="Heading2"/>
        <w:keepNext/>
        <w:spacing w:before="100" w:after="60"/>
      </w:pPr>
      <w:r>
        <w:rPr>
          <w:rFonts w:ascii="Arial" w:hAnsi="Arial"/>
        </w:rPr>
        <w:t>Build priorities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90" w:type="dxa"/>
              <w:start w:w="120" w:type="dxa"/>
              <w:bottom w:w="90" w:type="dxa"/>
              <w:end w:w="120" w:type="dxa"/>
            </w:tcMar>
            <w:shd w:fill="00664F" w:val="cle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FFFFFF"/>
                <w:sz w:val="17"/>
              </w:rPr>
              <w:t>Priority</w:t>
            </w:r>
          </w:p>
        </w:tc>
        <w:tc>
          <w:tcPr>
            <w:tcW w:type="dxa" w:w="7776"/>
            <w:vAlign w:val="center"/>
            <w:tcMar>
              <w:top w:w="90" w:type="dxa"/>
              <w:start w:w="120" w:type="dxa"/>
              <w:bottom w:w="90" w:type="dxa"/>
              <w:end w:w="120" w:type="dxa"/>
            </w:tcMar>
            <w:shd w:fill="00664F" w:val="cle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FFFFFF"/>
                <w:sz w:val="17"/>
              </w:rPr>
              <w:t>Delivery focus</w:t>
            </w:r>
          </w:p>
        </w:tc>
      </w:tr>
      <w:tr>
        <w:tc>
          <w:tcPr>
            <w:tcW w:type="dxa" w:w="5083"/>
            <w:shd w:fill="F7F8F2" w:val="clear"/>
            <w:tcMar>
              <w:top w:w="82" w:type="dxa"/>
              <w:start w:w="100" w:type="dxa"/>
              <w:bottom w:w="82" w:type="dxa"/>
              <w:end w:w="10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7"/>
              </w:rPr>
              <w:t>P0 — Foundations</w:t>
            </w:r>
          </w:p>
        </w:tc>
        <w:tc>
          <w:tcPr>
            <w:tcW w:type="dxa" w:w="5083"/>
            <w:shd w:fill="F7F8F2" w:val="clear"/>
            <w:tcMar>
              <w:top w:w="82" w:type="dxa"/>
              <w:start w:w="100" w:type="dxa"/>
              <w:bottom w:w="82" w:type="dxa"/>
              <w:end w:w="10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Apply tokens, type scale, spacing, shared inputs/buttons, responsive shell and accessible focus states.</w:t>
            </w:r>
          </w:p>
        </w:tc>
      </w:tr>
      <w:tr>
        <w:tc>
          <w:tcPr>
            <w:tcW w:type="dxa" w:w="5083"/>
            <w:tcMar>
              <w:top w:w="82" w:type="dxa"/>
              <w:start w:w="100" w:type="dxa"/>
              <w:bottom w:w="82" w:type="dxa"/>
              <w:end w:w="10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7"/>
              </w:rPr>
              <w:t>P0 — Setup flow</w:t>
            </w:r>
          </w:p>
        </w:tc>
        <w:tc>
          <w:tcPr>
            <w:tcW w:type="dxa" w:w="5083"/>
            <w:tcMar>
              <w:top w:w="82" w:type="dxa"/>
              <w:start w:w="100" w:type="dxa"/>
              <w:bottom w:w="82" w:type="dxa"/>
              <w:end w:w="10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Build the five-step wizard, persistent draft state, field validation, unit display and a back/continue pattern.</w:t>
            </w:r>
          </w:p>
        </w:tc>
      </w:tr>
      <w:tr>
        <w:tc>
          <w:tcPr>
            <w:tcW w:type="dxa" w:w="5083"/>
            <w:shd w:fill="F7F8F2" w:val="clear"/>
            <w:tcMar>
              <w:top w:w="82" w:type="dxa"/>
              <w:start w:w="100" w:type="dxa"/>
              <w:bottom w:w="82" w:type="dxa"/>
              <w:end w:w="10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7"/>
              </w:rPr>
              <w:t>P0 — Explainable result</w:t>
            </w:r>
          </w:p>
        </w:tc>
        <w:tc>
          <w:tcPr>
            <w:tcW w:type="dxa" w:w="5083"/>
            <w:shd w:fill="F7F8F2" w:val="clear"/>
            <w:tcMar>
              <w:top w:w="82" w:type="dxa"/>
              <w:start w:w="100" w:type="dxa"/>
              <w:bottom w:w="82" w:type="dxa"/>
              <w:end w:w="10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Implement all four result states, rationale, missing inputs, required next actions and source/reviewer metadata.</w:t>
            </w:r>
          </w:p>
        </w:tc>
      </w:tr>
      <w:tr>
        <w:tc>
          <w:tcPr>
            <w:tcW w:type="dxa" w:w="5083"/>
            <w:tcMar>
              <w:top w:w="82" w:type="dxa"/>
              <w:start w:w="100" w:type="dxa"/>
              <w:bottom w:w="82" w:type="dxa"/>
              <w:end w:w="10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7"/>
              </w:rPr>
              <w:t>P0 — Batch log</w:t>
            </w:r>
          </w:p>
        </w:tc>
        <w:tc>
          <w:tcPr>
            <w:tcW w:type="dxa" w:w="5083"/>
            <w:tcMar>
              <w:top w:w="82" w:type="dxa"/>
              <w:start w:w="100" w:type="dxa"/>
              <w:bottom w:w="82" w:type="dxa"/>
              <w:end w:w="10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Allow dated observations, distinguish measured/estimated/unknown and display an honest chronological history.</w:t>
            </w:r>
          </w:p>
        </w:tc>
      </w:tr>
      <w:tr>
        <w:tc>
          <w:tcPr>
            <w:tcW w:type="dxa" w:w="5083"/>
            <w:shd w:fill="F7F8F2" w:val="clear"/>
            <w:tcMar>
              <w:top w:w="82" w:type="dxa"/>
              <w:start w:w="100" w:type="dxa"/>
              <w:bottom w:w="82" w:type="dxa"/>
              <w:end w:w="10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7"/>
              </w:rPr>
              <w:t>P0 — Troubleshooting</w:t>
            </w:r>
          </w:p>
        </w:tc>
        <w:tc>
          <w:tcPr>
            <w:tcW w:type="dxa" w:w="5083"/>
            <w:shd w:fill="F7F8F2" w:val="clear"/>
            <w:tcMar>
              <w:top w:w="82" w:type="dxa"/>
              <w:start w:w="100" w:type="dxa"/>
              <w:bottom w:w="82" w:type="dxa"/>
              <w:end w:w="10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Create symptom-driven cases with reviewed conditions, conditional advice, source links and follow-up logging.</w:t>
            </w:r>
          </w:p>
        </w:tc>
      </w:tr>
      <w:tr>
        <w:tc>
          <w:tcPr>
            <w:tcW w:type="dxa" w:w="5083"/>
            <w:tcMar>
              <w:top w:w="82" w:type="dxa"/>
              <w:start w:w="100" w:type="dxa"/>
              <w:bottom w:w="82" w:type="dxa"/>
              <w:end w:w="10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color w:val="00664F"/>
                <w:sz w:val="17"/>
              </w:rPr>
              <w:t>P1 — Editorial polish</w:t>
            </w:r>
          </w:p>
        </w:tc>
        <w:tc>
          <w:tcPr>
            <w:tcW w:type="dxa" w:w="5083"/>
            <w:tcMar>
              <w:top w:w="82" w:type="dxa"/>
              <w:start w:w="100" w:type="dxa"/>
              <w:bottom w:w="82" w:type="dxa"/>
              <w:end w:w="100" w:type="dxa"/>
            </w:tcMar>
            <w:tcBorders>
              <w:top w:val="single" w:sz="6" w:color="D7E1D8"/>
              <w:left w:val="single" w:sz="6" w:color="D7E1D8"/>
              <w:bottom w:val="single" w:sz="6" w:color="D7E1D8"/>
              <w:right w:val="single" w:sz="6" w:color="D7E1D8"/>
            </w:tcBorders>
          </w:tcPr>
          <w:p>
            <w:pPr>
              <w:spacing w:before="0" w:after="0" w:line="269" w:lineRule="auto"/>
            </w:pPr>
            <w:r/>
            <w:r>
              <w:rPr>
                <w:rFonts w:ascii="Arial" w:hAnsi="Arial"/>
                <w:b w:val="0"/>
                <w:color w:val="34483F"/>
                <w:sz w:val="17"/>
              </w:rPr>
              <w:t>Add the landing-page image rhythm, subtle gradient treatment, limited plant guide and low-motion transitions.</w:t>
            </w:r>
          </w:p>
        </w:tc>
      </w:tr>
    </w:tbl>
    <w:p>
      <w:pPr>
        <w:pStyle w:val="Heading2"/>
        <w:keepNext/>
        <w:spacing w:before="100" w:after="60"/>
      </w:pPr>
      <w:r>
        <w:rPr>
          <w:rFonts w:ascii="Arial" w:hAnsi="Arial"/>
        </w:rPr>
        <w:t>Design acceptance checklist</w:t>
      </w:r>
    </w:p>
    <w:p>
      <w:pPr>
        <w:pStyle w:val="ListBullet"/>
        <w:spacing w:after="40" w:line="269" w:lineRule="auto"/>
      </w:pPr>
      <w:r>
        <w:rPr>
          <w:rFonts w:ascii="Arial" w:hAnsi="Arial"/>
          <w:color w:val="34483F"/>
          <w:sz w:val="19"/>
        </w:rPr>
        <w:t>A beginner can start setup without creating an account and can distinguish available space from container dimensions.</w:t>
      </w:r>
    </w:p>
    <w:p>
      <w:pPr>
        <w:pStyle w:val="ListBullet"/>
        <w:spacing w:after="40" w:line="269" w:lineRule="auto"/>
      </w:pPr>
      <w:r>
        <w:rPr>
          <w:rFonts w:ascii="Arial" w:hAnsi="Arial"/>
          <w:color w:val="34483F"/>
          <w:sz w:val="19"/>
        </w:rPr>
        <w:t>Every result state explains why it appeared; unknown data is not silently treated as safe.</w:t>
      </w:r>
    </w:p>
    <w:p>
      <w:pPr>
        <w:pStyle w:val="ListBullet"/>
        <w:spacing w:after="40" w:line="269" w:lineRule="auto"/>
      </w:pPr>
      <w:r>
        <w:rPr>
          <w:rFonts w:ascii="Arial" w:hAnsi="Arial"/>
          <w:color w:val="34483F"/>
          <w:sz w:val="19"/>
        </w:rPr>
        <w:t>The product visibly distinguishes estimate, measurement and user confirmation.</w:t>
      </w:r>
    </w:p>
    <w:p>
      <w:pPr>
        <w:pStyle w:val="ListBullet"/>
        <w:spacing w:after="40" w:line="269" w:lineRule="auto"/>
      </w:pPr>
      <w:r>
        <w:rPr>
          <w:rFonts w:ascii="Arial" w:hAnsi="Arial"/>
          <w:color w:val="34483F"/>
          <w:sz w:val="19"/>
        </w:rPr>
        <w:t>Every safety-sensitive rule has a source or expert reviewer recorded, and unsupported claims are excluded.</w:t>
      </w:r>
    </w:p>
    <w:p>
      <w:pPr>
        <w:pStyle w:val="ListBullet"/>
        <w:spacing w:after="40" w:line="269" w:lineRule="auto"/>
      </w:pPr>
      <w:r>
        <w:rPr>
          <w:rFonts w:ascii="Arial" w:hAnsi="Arial"/>
          <w:color w:val="34483F"/>
          <w:sz w:val="19"/>
        </w:rPr>
        <w:t>Mobile layout is usable at 360 px wide; focus and validation states are obvious; text contrast has been checked.</w:t>
      </w:r>
    </w:p>
    <w:p>
      <w:pPr>
        <w:pStyle w:val="ListBullet"/>
        <w:spacing w:after="40" w:line="269" w:lineRule="auto"/>
      </w:pPr>
      <w:r>
        <w:rPr>
          <w:rFonts w:ascii="Arial" w:hAnsi="Arial"/>
          <w:color w:val="34483F"/>
          <w:sz w:val="19"/>
        </w:rPr>
        <w:t>Motion can be reduced; all primary tasks work without hover; success and failure states are testable.</w:t>
      </w:r>
    </w:p>
    <w:p>
      <w:pPr>
        <w:pStyle w:val="Heading2"/>
        <w:keepNext/>
        <w:spacing w:before="100" w:after="60"/>
      </w:pPr>
      <w:r>
        <w:rPr>
          <w:rFonts w:ascii="Arial" w:hAnsi="Arial"/>
        </w:rPr>
        <w:t>Reference links and basis</w:t>
      </w:r>
    </w:p>
    <w:p>
      <w:pPr>
        <w:spacing w:before="0" w:after="40" w:line="283" w:lineRule="auto"/>
      </w:pPr>
      <w:r>
        <w:rPr>
          <w:rFonts w:ascii="Arial" w:hAnsi="Arial"/>
          <w:b w:val="0"/>
          <w:i w:val="0"/>
          <w:color w:val="34483F"/>
          <w:sz w:val="17"/>
        </w:rPr>
        <w:t xml:space="preserve">Visual reference — Awwwards project page: </w:t>
      </w:r>
      <w:hyperlink r:id="rId11">
        <w:r>
          <w:rPr>
            <w:color w:val="009775"/>
            <w:u w:val="single"/>
            <w:sz w:val="19"/>
            <w:rFonts w:ascii="Arial" w:hAnsi="Arial"/>
          </w:rPr>
          <w:t>AMC Natural on Awwwards</w:t>
        </w:r>
      </w:hyperlink>
    </w:p>
    <w:p>
      <w:pPr>
        <w:spacing w:before="0" w:after="40" w:line="283" w:lineRule="auto"/>
      </w:pPr>
      <w:r>
        <w:rPr>
          <w:rFonts w:ascii="Arial" w:hAnsi="Arial"/>
          <w:b w:val="0"/>
          <w:i w:val="0"/>
          <w:color w:val="34483F"/>
          <w:sz w:val="17"/>
        </w:rPr>
        <w:t xml:space="preserve">Live site used for context: </w:t>
      </w:r>
      <w:hyperlink r:id="rId12">
        <w:r>
          <w:rPr>
            <w:color w:val="009775"/>
            <w:u w:val="single"/>
            <w:sz w:val="19"/>
            <w:rFonts w:ascii="Arial" w:hAnsi="Arial"/>
          </w:rPr>
          <w:t>amcnatural.com</w:t>
        </w:r>
      </w:hyperlink>
    </w:p>
    <w:p>
      <w:pPr>
        <w:spacing w:before="0" w:after="40" w:line="283" w:lineRule="auto"/>
      </w:pPr>
      <w:r>
        <w:rPr>
          <w:rFonts w:ascii="Arial" w:hAnsi="Arial"/>
          <w:b w:val="0"/>
          <w:i w:val="0"/>
          <w:color w:val="34483F"/>
          <w:sz w:val="17"/>
        </w:rPr>
        <w:t>Product basis: Cust-Post PRD Draft 0.1, last updated 18 October 2026 (space-aware composting assistant; household beginner audience; setup screening; method planning; batch log; troubleshooting; evidence and privacy guardrails).</w:t>
      </w:r>
    </w:p>
    <w:p>
      <w:pPr>
        <w:spacing w:before="0" w:after="0" w:line="283" w:lineRule="auto"/>
      </w:pPr>
      <w:r>
        <w:rPr>
          <w:rFonts w:ascii="Arial" w:hAnsi="Arial"/>
          <w:b w:val="0"/>
          <w:i/>
          <w:color w:val="5E6F65"/>
          <w:sz w:val="16"/>
        </w:rPr>
        <w:t>Important: the palette entries #009775 and #F6B73E are listed by Awwwards for AMC Natural. Other tokens, fonts, layout values and component patterns in this document are proposed adaptations for Cust-Post, not official AMC Natural specifications.</w:t>
      </w:r>
    </w:p>
    <w:sectPr w:rsidR="00FC693F" w:rsidRPr="0006063C" w:rsidSect="00034616">
      <w:headerReference w:type="default" r:id="rId9"/>
      <w:footerReference w:type="default" r:id="rId10"/>
      <w:pgSz w:w="12240" w:h="15840"/>
      <w:pgMar w:top="893"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E6F65"/>
        <w:sz w:val="16"/>
      </w:rPr>
      <w:t xml:space="preserve">CUST-POST  •  DESIGN DOC  |  </w:t>
    </w:r>
    <w:r>
      <w:rPr>
        <w:color w:val="5E6F6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Arial" w:hAnsi="Arial"/>
        <w:b/>
        <w:color w:val="00664F"/>
        <w:sz w:val="18"/>
      </w:rPr>
      <w:t>CUST-POST</w:t>
    </w:r>
    <w:r>
      <w:rPr>
        <w:rFonts w:ascii="Arial" w:hAnsi="Arial"/>
        <w:color w:val="5E6F65"/>
        <w:sz w:val="16"/>
      </w:rPr>
      <w:t xml:space="preserve">   /   VISUAL &amp; INTERACTION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3448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72E"/>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664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7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rPr>
      <w:rFonts w:ascii="Arial" w:hAnsi="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wwwards.com/sites/amc-natural" TargetMode="External"/><Relationship Id="rId12" Type="http://schemas.openxmlformats.org/officeDocument/2006/relationships/hyperlink" Target="https://amcnatur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Cust-Post Design Doc v0.1</dc:title>
  <dc:subject>Visual design direction and interaction specification inspired by AMC Natural</dc:subject>
  <dc:creator>OpenAI</dc:creator>
  <cp:keywords>Cust-Post, design system, composting, UI, UX, AMC Natural</cp:keywords>
  <dc:description>generated by python-docx</dc:description>
  <cp:lastModifiedBy/>
  <cp:revision>1</cp:revision>
  <dcterms:created xsi:type="dcterms:W3CDTF">2013-12-23T23:15:00Z</dcterms:created>
  <dcterms:modified xsi:type="dcterms:W3CDTF">2013-12-23T23:15:00Z</dcterms:modified>
  <cp:category/>
</cp:coreProperties>
</file>