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Calibri" w:hAnsi="Calibri"/>
          <w:b/>
          <w:color w:val="A66A00"/>
          <w:sz w:val="22"/>
        </w:rPr>
        <w:t>FINANCIAL INTELLIGENCE ENGINE</w:t>
      </w:r>
    </w:p>
    <w:p>
      <w:pPr>
        <w:spacing w:after="160"/>
        <w:jc w:val="center"/>
      </w:pPr>
      <w:r>
        <w:rPr>
          <w:rFonts w:ascii="Calibri" w:hAnsi="Calibri"/>
          <w:b/>
          <w:color w:val="17324D"/>
          <w:sz w:val="60"/>
        </w:rPr>
        <w:t>Application Architecture</w:t>
      </w:r>
    </w:p>
    <w:p>
      <w:pPr>
        <w:spacing w:after="560"/>
        <w:jc w:val="center"/>
      </w:pPr>
      <w:r>
        <w:rPr>
          <w:rFonts w:ascii="Calibri" w:hAnsi="Calibri"/>
          <w:color w:val="2E74B5"/>
          <w:sz w:val="28"/>
        </w:rPr>
        <w:t>Phase 1 System Design, Class Flow, RAG, ML, and Deployment Path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827C"/>
          <w:left w:val="single" w:sz="8" w:space="0" w:color="16827C"/>
          <w:bottom w:val="single" w:sz="8" w:space="0" w:color="16827C"/>
          <w:right w:val="single" w:sz="8" w:space="0" w:color="16827C"/>
          <w:insideH w:val="single" w:sz="8" w:space="0" w:color="16827C"/>
          <w:insideV w:val="single" w:sz="8" w:space="0" w:color="16827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827C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A mentor-ready technical guide to the implemented Phase 1 application and the architecture that allows it to evolve into a cloud financial intelligence product.</w:t>
            </w:r>
          </w:p>
        </w:tc>
      </w:tr>
    </w:tbl>
    <w:p>
      <w:pPr>
        <w:spacing w:after="0"/>
      </w:pPr>
    </w:p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Field</w:t>
            </w:r>
          </w:p>
        </w:tc>
        <w:tc>
          <w:tcPr>
            <w:tcW w:type="dxa" w:w="706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>Value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Document status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Phase 1 implementation baseline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Prepared for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Mentor and academic review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Implementation date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28 June 2026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Application scope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US equities, 10K-company universe</w:t>
            </w:r>
          </w:p>
        </w:tc>
      </w:tr>
    </w:tbl>
    <w:p>
      <w:pPr>
        <w:spacing w:before="600"/>
        <w:jc w:val="center"/>
      </w:pPr>
      <w:r>
        <w:rPr>
          <w:rFonts w:ascii="Calibri" w:hAnsi="Calibri"/>
          <w:i/>
          <w:color w:val="5D6B78"/>
          <w:sz w:val="19"/>
        </w:rPr>
        <w:t>Decision support only. The application does not provide regulated financial advice.</w:t>
      </w:r>
    </w:p>
    <w:p>
      <w:r>
        <w:br w:type="page"/>
      </w:r>
    </w:p>
    <w:p>
      <w:pPr>
        <w:pStyle w:val="Heading1"/>
        <w:keepNext/>
      </w:pPr>
      <w:r>
        <w:t>Executive Snapshot</w:t>
      </w:r>
    </w:p>
    <w:p>
      <w:r>
        <w:rPr>
          <w:rFonts w:ascii="Calibri" w:hAnsi="Calibri"/>
          <w:color w:val="1F2933"/>
        </w:rPr>
        <w:t>The Financial Intelligence Engine is a local-first, cloud-ready research and decision-support prototype. It combines document retrieval, persistent vector search, baseline machine-learning inference, specialist agents, transparent decision scoring, and an explainable final report.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1"/>
              </w:rPr>
              <w:t>Architecture in one sentence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A browser question is routed through a Python API to an orchestrator, grounded with RAG evidence, enriched with sentiment and trained risk/forecast signals, scored by a decision agent, and rendered as an explainable report.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Current Evidence of Implementation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Capability</w:t>
            </w:r>
          </w:p>
        </w:tc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Current result</w:t>
            </w:r>
          </w:p>
        </w:tc>
        <w:tc>
          <w:tcPr>
            <w:tcW w:type="dxa" w:w="45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Implementation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US equity universe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10,000 tickers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Cached Nasdaq Trader and SEC source files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ML feature table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10,000 rows x 20 columns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Deterministic Phase 1 feature contract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RAG vector index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478 chunks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Persistent ChromaDB collection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Risk model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80.05% accuracy; 0.8039 macro F1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Low / Medium / High classifier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Forecast model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68.95% accuracy; 0.5914 macro F1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Down / Flat / Up classifier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Frontend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5 views and 6 API routes</w:t>
            </w:r>
          </w:p>
        </w:tc>
        <w:tc>
          <w:tcPr>
            <w:tcW w:type="dxa" w:w="4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dashboard at 127.0.0.1:8000</w:t>
            </w:r>
          </w:p>
        </w:tc>
      </w:tr>
    </w:tbl>
    <w:p>
      <w:pPr>
        <w:pStyle w:val="Heading2"/>
        <w:keepNext/>
      </w:pPr>
      <w:r>
        <w:t>Contents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1. System architecture overview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2. Runtime query and agent flow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3. Persistent RAG architecture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4. Machine-learning training and inference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5. Runtime and build-time class flow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6. Data, storage, frontend, and API contracts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7. Deployment evolution and Phase 2 path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8. Current boundaries and mentor demo runbook</w:t>
      </w:r>
    </w:p>
    <w:p>
      <w:r>
        <w:br w:type="page"/>
      </w:r>
    </w:p>
    <w:p>
      <w:pPr>
        <w:pStyle w:val="Heading1"/>
        <w:keepNext/>
      </w:pPr>
      <w:r>
        <w:t>1. System Architecture Overview</w:t>
      </w:r>
    </w:p>
    <w:p>
      <w:r>
        <w:rPr>
          <w:rFonts w:ascii="Calibri" w:hAnsi="Calibri"/>
          <w:color w:val="1F2933"/>
        </w:rPr>
        <w:t>The application follows a layered architecture. The browser and API form the interaction boundary; the orchestrator controls workflow; specialist agents produce evidence and predictions; the decision and explainability layers turn those signals into an auditable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702558"/>
            <wp:docPr id="1" name="Picture 1" descr="Phase 1 architecture from browser and API through orchestrated specialist agents, decision scoring, explainability, and final report." title="Phase 1 architecture from browser and API through orchestrated specialist agents, decision scoring, explainability, and final repor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0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1. Implemented Phase 1 end-to-end architecture.</w:t>
      </w:r>
    </w:p>
    <w:p>
      <w:pPr>
        <w:pStyle w:val="Heading2"/>
        <w:keepNext/>
      </w:pPr>
      <w:r>
        <w:t>Key Design Decisions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Local-first operation: the complete demo works without a cloud API key.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Persistent intelligence assets: vectors, features, models, metrics, and reports survive process restarts.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Provider abstraction: GenAI can switch from deterministic local mode to OpenAI through environment configuration.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Stable agent contract: every specialist returns AgentResult with status, data, evidence, confidence, and warnings.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Transparent scoring: the decision layer exposes its input weights and recommendation thresholds.</w:t>
      </w:r>
    </w:p>
    <w:p>
      <w:r>
        <w:br w:type="page"/>
      </w:r>
    </w:p>
    <w:p>
      <w:pPr>
        <w:pStyle w:val="Heading1"/>
        <w:keepNext/>
      </w:pPr>
      <w:r>
        <w:t>2. Layered Component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1500"/>
        <w:gridCol w:w="3180"/>
        <w:gridCol w:w="4680"/>
      </w:tblGrid>
      <w:tr>
        <w:trPr>
          <w:tblHeader w:val="true"/>
        </w:trP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Layer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Primary classes/files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Responsibility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Presentation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frontend/index.html, app.js, styles.css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Dashboard, query form, universe, analysis, outputs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HTTP/API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DashboardHandler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Routes GET endpoints, handles POST /api/ask, serves files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Application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OrchestratorAgent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Selects tickers and executes one coordinated workflow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Specialist agents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Retriever, Sentiment, Risk, Forecast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Produce evidence and structured analytic signals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Decision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DecisionAgent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Combines signals into score and recommendation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Explainability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ExplainabilityAgent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Produces grounded report, caveats, evidence, and disclaimer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RAG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DocumentLoader, HashingEmbedder, VectorRetriever, RAGSystem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Indexing, persistent vectors, retrieval, answer synthesis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ML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Phase1ModelTrainer, RiskScorer, PricePredictor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Training, evaluation, persistence, prediction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Data/storage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USEquityUniverseBuilder, Phase1DataPipeline, DataStore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Universe, features, labels, layered artifacts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Configuration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AppSettings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Environment, paths, provider, model, database URL</w:t>
            </w:r>
          </w:p>
        </w:tc>
      </w:tr>
    </w:tbl>
    <w:p>
      <w:pPr>
        <w:pStyle w:val="Heading2"/>
        <w:keepNext/>
      </w:pPr>
      <w:r>
        <w:t>Control Versus Data Flow</w:t>
      </w:r>
    </w:p>
    <w:p>
      <w:r>
        <w:rPr>
          <w:rFonts w:ascii="Calibri" w:hAnsi="Calibri"/>
          <w:color w:val="1F2933"/>
        </w:rPr>
        <w:t>Control flow is owned by OrchestratorAgent. Data flow is carried through AgentResult objects, EvidenceItem objects, Pandas DataFrames, persisted CSV/JSON files, Chroma documents and embeddings, and serialized PKL models.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66A00"/>
          <w:left w:val="single" w:sz="8" w:space="0" w:color="A66A00"/>
          <w:bottom w:val="single" w:sz="8" w:space="0" w:color="A66A00"/>
          <w:right w:val="single" w:sz="8" w:space="0" w:color="A66A00"/>
          <w:insideH w:val="single" w:sz="8" w:space="0" w:color="A66A00"/>
          <w:insideV w:val="single" w:sz="8" w:space="0" w:color="A66A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66A00"/>
                <w:sz w:val="21"/>
              </w:rPr>
              <w:t>Important implementation detail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The conceptual diagram shows specialist agents as a group. In the current Python implementation, calls are sequential: retrieval -&gt; sentiment -&gt; risk -&gt; forecast -&gt; decision -&gt; explanation. Forecast is logically independent and can be parallelized later.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Runtime Query and Agent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69792"/>
            <wp:docPr id="2" name="Picture 2" descr="Runtime request sequence from POST api ask through retrieval, sentiment, risk, forecast, decision, explainability, and browser rendering." title="Runtime request sequence from POST api ask through retrieval, sentiment, risk, forecast, decision, explainability, and browser rende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ntime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2. Runtime request path from browser question to explainable response.</w:t>
      </w:r>
    </w:p>
    <w:p>
      <w:pPr>
        <w:pStyle w:val="Heading2"/>
        <w:keepNext/>
      </w:pPr>
      <w:r>
        <w:t>Request Sequence</w:t>
      </w:r>
    </w:p>
    <w:p>
      <w:pPr>
        <w:pStyle w:val="ListNumber"/>
      </w:pPr>
      <w:r>
        <w:rPr>
          <w:rFonts w:ascii="Calibri" w:hAnsi="Calibri"/>
          <w:color w:val="1F2933"/>
        </w:rPr>
        <w:t>The browser submits a question to POST /api/ask.</w:t>
      </w:r>
    </w:p>
    <w:p>
      <w:pPr>
        <w:pStyle w:val="ListNumber"/>
      </w:pPr>
      <w:r>
        <w:rPr>
          <w:rFonts w:ascii="Calibri" w:hAnsi="Calibri"/>
          <w:color w:val="1F2933"/>
        </w:rPr>
        <w:t>DashboardHandler validates the payload and extracts valid ticker symbols from the cached universe.</w:t>
      </w:r>
    </w:p>
    <w:p>
      <w:pPr>
        <w:pStyle w:val="ListNumber"/>
      </w:pPr>
      <w:r>
        <w:rPr>
          <w:rFonts w:ascii="Calibri" w:hAnsi="Calibri"/>
          <w:color w:val="1F2933"/>
        </w:rPr>
        <w:t>OrchestratorAgent creates the specialist agents and begins one coordinated run.</w:t>
      </w:r>
    </w:p>
    <w:p>
      <w:pPr>
        <w:pStyle w:val="ListNumber"/>
      </w:pPr>
      <w:r>
        <w:rPr>
          <w:rFonts w:ascii="Calibri" w:hAnsi="Calibri"/>
          <w:color w:val="1F2933"/>
        </w:rPr>
        <w:t>RetrieverAgent queries ChromaDB; if the index is absent or unavailable, it falls back to local hybrid retrieval.</w:t>
      </w:r>
    </w:p>
    <w:p>
      <w:pPr>
        <w:pStyle w:val="ListNumber"/>
      </w:pPr>
      <w:r>
        <w:rPr>
          <w:rFonts w:ascii="Calibri" w:hAnsi="Calibri"/>
          <w:color w:val="1F2933"/>
        </w:rPr>
        <w:t>SentimentAgent combines generated news indicators with sentiment from retrieved evidence.</w:t>
      </w:r>
    </w:p>
    <w:p>
      <w:pPr>
        <w:pStyle w:val="ListNumber"/>
      </w:pPr>
      <w:r>
        <w:rPr>
          <w:rFonts w:ascii="Calibri" w:hAnsi="Calibri"/>
          <w:color w:val="1F2933"/>
        </w:rPr>
        <w:t>RiskAgent and ForecastAgent load trained artifacts and select the requested ticker feature row.</w:t>
      </w:r>
    </w:p>
    <w:p>
      <w:pPr>
        <w:pStyle w:val="ListNumber"/>
      </w:pPr>
      <w:r>
        <w:rPr>
          <w:rFonts w:ascii="Calibri" w:hAnsi="Calibri"/>
          <w:color w:val="1F2933"/>
        </w:rPr>
        <w:t>DecisionAgent applies transparent weights and maps the score to Strong Buy, Buy, Hold, Sell, or Strong Sell.</w:t>
      </w:r>
    </w:p>
    <w:p>
      <w:pPr>
        <w:pStyle w:val="ListNumber"/>
      </w:pPr>
      <w:r>
        <w:rPr>
          <w:rFonts w:ascii="Calibri" w:hAnsi="Calibri"/>
          <w:color w:val="1F2933"/>
        </w:rPr>
        <w:t>ExplainabilityAgent creates a grounded prompt and delegates to the configured GenAIProvider.</w:t>
      </w:r>
    </w:p>
    <w:p>
      <w:pPr>
        <w:pStyle w:val="ListNumber"/>
      </w:pPr>
      <w:r>
        <w:rPr>
          <w:rFonts w:ascii="Calibri" w:hAnsi="Calibri"/>
          <w:color w:val="1F2933"/>
        </w:rPr>
        <w:t>The API returns the report, suggestions, agent summaries, and educational disclaimer.</w:t>
      </w:r>
    </w:p>
    <w:p>
      <w:r>
        <w:br w:type="page"/>
      </w:r>
    </w:p>
    <w:p>
      <w:pPr>
        <w:pStyle w:val="Heading1"/>
        <w:keepNext/>
      </w:pPr>
      <w:r>
        <w:t>4. Persistent RAG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3" name="Picture 3" descr="RAG indexing and query paths showing document loading, chunking, hashing embeddings, persistent ChromaDB, evidence retrieval, and answer generation." title="RAG indexing and query paths showing document loading, chunking, hashing embeddings, persistent ChromaDB, evidence retrieval, and answer gener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a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3. Indexing and query paths for the Phase 1 RAG subsystem.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RAG concern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Current implementation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Supported input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PDF, Markdown, text, CSV, and JSON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Chunking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900 characters with 120-character overlap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Embedding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deterministic token hashing; normalized 384-dimensional vectors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Vector database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ChromaDB PersistentClient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Persistence path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data/vectors/chroma/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Collection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phase1_financial_docs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Retrieval output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Text, source metadata, chunk ID, distance, and normalized relevance score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Generation</w:t>
            </w:r>
          </w:p>
        </w:tc>
        <w:tc>
          <w:tcPr>
            <w:tcW w:type="dxa" w:w="7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extractive fallback or OpenAI Responses API synthesis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827C"/>
          <w:left w:val="single" w:sz="8" w:space="0" w:color="16827C"/>
          <w:bottom w:val="single" w:sz="8" w:space="0" w:color="16827C"/>
          <w:right w:val="single" w:sz="8" w:space="0" w:color="16827C"/>
          <w:insideH w:val="single" w:sz="8" w:space="0" w:color="16827C"/>
          <w:insideV w:val="single" w:sz="8" w:space="0" w:color="16827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827C"/>
                <w:sz w:val="21"/>
              </w:rPr>
              <w:t>Why RAG and ML both exist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RAG supplies source-grounded context and explains why. ML supplies learned numerical risk and direction signals and estimates what is likely. The decision agent combines both forms of intelligence.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5. Machine-Learning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71494"/>
            <wp:docPr id="4" name="Picture 4" descr="Machine-learning build and inference paths for the US equity universe, feature pipeline, model trainer, risk model, forecast model, and decision output." title="Machine-learning build and inference paths for the US equity universe, feature pipeline, model trainer, risk model, forecast model, and decision outpu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71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4. Separate build-time training and runtime inference paths.</w:t>
      </w:r>
    </w:p>
    <w:p>
      <w:pPr>
        <w:pStyle w:val="Heading2"/>
        <w:keepNext/>
      </w:pPr>
      <w:r>
        <w:t>Model Contracts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1800"/>
        <w:gridCol w:w="2400"/>
        <w:gridCol w:w="2780"/>
        <w:gridCol w:w="2380"/>
      </w:tblGrid>
      <w:tr>
        <w:trPr>
          <w:tblHeader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Class</w:t>
            </w:r>
          </w:p>
        </w:tc>
        <w:tc>
          <w:tcPr>
            <w:tcW w:type="dxa" w:w="240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Input</w:t>
            </w:r>
          </w:p>
        </w:tc>
        <w:tc>
          <w:tcPr>
            <w:tcW w:type="dxa" w:w="278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Output</w:t>
            </w:r>
          </w:p>
        </w:tc>
        <w:tc>
          <w:tcPr>
            <w:tcW w:type="dxa" w:w="238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Persistence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RiskScorer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10 numeric features</w:t>
            </w:r>
          </w:p>
        </w:tc>
        <w:tc>
          <w:tcPr>
            <w:tcW w:type="dxa" w:w="27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Low / Medium / High</w:t>
            </w:r>
          </w:p>
        </w:tc>
        <w:tc>
          <w:tcPr>
            <w:tcW w:type="dxa" w:w="23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phase1_risk_model.pkl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PricePredictor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8 numeric features</w:t>
            </w:r>
          </w:p>
        </w:tc>
        <w:tc>
          <w:tcPr>
            <w:tcW w:type="dxa" w:w="27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Down / Flat / Up</w:t>
            </w:r>
          </w:p>
        </w:tc>
        <w:tc>
          <w:tcPr>
            <w:tcW w:type="dxa" w:w="23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phase1_forecast_model.pkl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CentroidClassifier</w:t>
            </w:r>
          </w:p>
        </w:tc>
        <w:tc>
          <w:tcPr>
            <w:tcW w:type="dxa" w:w="24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Standardized numeric matrix</w:t>
            </w:r>
          </w:p>
        </w:tc>
        <w:tc>
          <w:tcPr>
            <w:tcW w:type="dxa" w:w="27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Nearest class centroid probabilities</w:t>
            </w:r>
          </w:p>
        </w:tc>
        <w:tc>
          <w:tcPr>
            <w:tcW w:type="dxa" w:w="238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Embedded in both PKL files</w:t>
            </w:r>
          </w:p>
        </w:tc>
      </w:tr>
    </w:tbl>
    <w:p>
      <w:pPr>
        <w:pStyle w:val="Heading2"/>
        <w:keepNext/>
      </w:pPr>
      <w:r>
        <w:t>Training Method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Feature data is shuffled with random_state=42 and split 80% training / 20% testing.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Features are standardized using training-set mean and standard deviation.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Each class centroid is learned in standardized feature space.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Prediction probabilities are derived from exponentiated negative distances.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Accuracy, macro F1, weighted F1, and per-class precision/recall/F1 are persisted as JSON.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23B3B"/>
          <w:left w:val="single" w:sz="8" w:space="0" w:color="A23B3B"/>
          <w:bottom w:val="single" w:sz="8" w:space="0" w:color="A23B3B"/>
          <w:right w:val="single" w:sz="8" w:space="0" w:color="A23B3B"/>
          <w:insideH w:val="single" w:sz="8" w:space="0" w:color="A23B3B"/>
          <w:insideV w:val="single" w:sz="8" w:space="0" w:color="A23B3B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BEDEE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23B3B"/>
                <w:sz w:val="21"/>
              </w:rPr>
              <w:t>Scientific boundary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The current 10K feature table and labels are deterministic Phase 1 proxies designed to prove the pipeline at scale. They are not yet a backtested production market dataset. Phase 2 should replace proxies with point-in-time OHLCV, fundamentals, filings, and news while preventing look-ahead bias.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6. Runtime Class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5" name="Picture 5" descr="Runtime class dependency map for DashboardHandler, OrchestratorAgent, specialist agents, shared schemas, model wrappers, explainability, and GenAI providers." title="Runtime class dependency map for DashboardHandler, OrchestratorAgent, specialist agents, shared schemas, model wrappers, explainability, and GenAI provide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ass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5. Runtime class composition and dependency flow.</w:t>
      </w:r>
    </w:p>
    <w:p>
      <w:pPr>
        <w:pStyle w:val="Heading2"/>
        <w:keepNext/>
      </w:pPr>
      <w:r>
        <w:t>Shared Result Contract</w:t>
      </w:r>
    </w:p>
    <w:p>
      <w:r>
        <w:rPr>
          <w:rFonts w:ascii="Calibri" w:hAnsi="Calibri"/>
          <w:color w:val="1F2933"/>
        </w:rPr>
        <w:t>EvidenceItem holds source, text, score, and metadata. AgentResult standardizes agent_name, status, summary, data, evidence, confidence, and warnings. This contract lets the orchestrator combine specialist outputs without depending on each agent's internal implementation.</w:t>
      </w:r>
    </w:p>
    <w:p>
      <w:r>
        <w:br w:type="page"/>
      </w:r>
    </w:p>
    <w:p>
      <w:pPr>
        <w:pStyle w:val="Heading1"/>
        <w:keepNext/>
      </w:pPr>
      <w:r>
        <w:t>7. Data, Training, and RAG Build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07664"/>
            <wp:docPr id="6" name="Picture 6" descr="Build-time class dependency map for configuration, storage, universe building, feature engineering, training, RAG indexing, and persisted model assets." title="Build-time class dependency map for configuration, storage, universe building, feature engineering, training, RAG indexing, and persisted model asse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uild_class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Calibri" w:hAnsi="Calibri"/>
          <w:i/>
          <w:color w:val="5D6B78"/>
          <w:sz w:val="18"/>
        </w:rPr>
        <w:t>Figure 6. Build-time classes and the persistent assets they create.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200"/>
        <w:gridCol w:w="3000"/>
        <w:gridCol w:w="4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Class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Module</w:t>
            </w:r>
          </w:p>
        </w:tc>
        <w:tc>
          <w:tcPr>
            <w:tcW w:type="dxa" w:w="416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Role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AppSettings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config/settings.py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Resolves local/cloud configuration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DataStore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storage/data_store.py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Owns raw, processed, feature, vector, model, and report paths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USEquityUniverseBuilder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data_layer/company_universe.py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Builds and caches the US ticker universe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Phase1DataPipeline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data_layer/phase1_data_pipeline.py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Creates model-ready features and labels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Phase1ModelTrainer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ml_models/phase1_trainer.py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Trains, evaluates, and saves both classifiers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RAGSystem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rag_layer/rag_system.py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Provides standalone index and query API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VectorRetriever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rag_layer/retriever.py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Owns Chroma collection and similarity operations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GenAIProvider</w:t>
            </w:r>
          </w:p>
        </w:tc>
        <w:tc>
          <w:tcPr>
            <w:tcW w:type="dxa" w:w="30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genai_layer/provider.py</w:t>
            </w:r>
          </w:p>
        </w:tc>
        <w:tc>
          <w:tcPr>
            <w:tcW w:type="dxa" w:w="4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Abstracts local and OpenAI report generation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Data, Storage, Frontend, and API Contracts</w:t>
      </w:r>
    </w:p>
    <w:p>
      <w:pPr>
        <w:pStyle w:val="Heading2"/>
        <w:keepNext/>
      </w:pPr>
      <w:r>
        <w:t>Storage Layout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Location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Responsibility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data/raw/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Unchanged Nasdaq Trader / SEC source downloads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data/processed/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Cleaned 10K universe, summaries, and manifests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data/features/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ML-ready phase1_model_features.csv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data/vectors/chroma/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Persistent ChromaDB collection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models/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Risk and forecast PKL artifacts plus metrics JSON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reports/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Generated Markdown reports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data/*.csv / *.json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Dashboard analysis and demonstration outputs</w:t>
            </w:r>
          </w:p>
        </w:tc>
      </w:tr>
    </w:tbl>
    <w:p>
      <w:pPr>
        <w:pStyle w:val="Heading2"/>
        <w:keepNext/>
      </w:pPr>
      <w:r>
        <w:t>Frontend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1100"/>
        <w:gridCol w:w="2800"/>
        <w:gridCol w:w="5460"/>
      </w:tblGrid>
      <w:tr>
        <w:trPr>
          <w:tblHeader w:val="true"/>
        </w:trPr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Method</w:t>
            </w:r>
          </w:p>
        </w:tc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Route</w:t>
            </w:r>
          </w:p>
        </w:tc>
        <w:tc>
          <w:tcPr>
            <w:tcW w:type="dxa" w:w="546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Purpose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/api/summary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Counts, model metrics, recommendations, files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/api/universe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Search and list cached US equity universe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/api/recommendations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Rank investment report rows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/api/sentiment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Return sentiment leaders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/api/news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Return latest demo news rows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POST</w:t>
            </w:r>
          </w:p>
        </w:tc>
        <w:tc>
          <w:tcPr>
            <w:tcW w:type="dxa" w:w="2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/api/ask</w:t>
            </w:r>
          </w:p>
        </w:tc>
        <w:tc>
          <w:tcPr>
            <w:tcW w:type="dxa" w:w="5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Run the complete multi-agent workflow</w:t>
            </w:r>
          </w:p>
        </w:tc>
      </w:tr>
    </w:tbl>
    <w:p>
      <w:pPr>
        <w:pStyle w:val="Heading2"/>
        <w:keepNext/>
      </w:pPr>
      <w:r>
        <w:t>Configuration Boundary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FIE_ENV selects local or cloud-oriented behavior.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FIE_DATA_ROOT and related variables redirect storage without changing business logic.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FIE_GENAI_PROVIDER selects local or openai.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FIE_GENAI_MODEL selects the hosted model.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OPENAI_API_KEY must be injected as a secret and must never be committed.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FIE_DATABASE_URL is prepared for a future SQLite/PostgreSQL transition.</w:t>
      </w:r>
    </w:p>
    <w:p>
      <w:r>
        <w:br w:type="page"/>
      </w:r>
    </w:p>
    <w:p>
      <w:pPr>
        <w:pStyle w:val="Heading1"/>
        <w:keepNext/>
      </w:pPr>
      <w:r>
        <w:t>9. Deployment Evolution</w:t>
      </w:r>
    </w:p>
    <w:p>
      <w:pPr>
        <w:pStyle w:val="Heading2"/>
        <w:keepNext/>
      </w:pPr>
      <w:r>
        <w:t>Current Phase 1 Deployment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Concern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Current implementation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Client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Browser on the demonstration machine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Application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Python ThreadingHTTPServer at 127.0.0.1:8000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Persistence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folders, ChromaDB, CSV/JSON, PKL artifacts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GenAI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fallback; OpenAI optional through environment variables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Operations</w:t>
            </w:r>
          </w:p>
        </w:tc>
        <w:tc>
          <w:tcPr>
            <w:tcW w:type="dxa" w:w="72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Manual indexing, training, and server startup scripts</w:t>
            </w:r>
          </w:p>
        </w:tc>
      </w:tr>
    </w:tbl>
    <w:p>
      <w:pPr>
        <w:pStyle w:val="Heading2"/>
        <w:keepNext/>
      </w:pPr>
      <w:r>
        <w:t>Startup-Grade Target Architecture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Layer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Recommended evolution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Frontend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React or Next.js behind CDN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Backend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FastAPI service in a Docker container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Data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PostgreSQL plus object storage for filings and market datasets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Vector search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Managed Qdrant, Pinecone, Weaviate, or cloud-persistent Chroma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Model serving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Versioned model registry and dedicated inference service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Async work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Queue and workers for SEC ingestion, indexing, training, and alerts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Security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Identity, authorization, secret manager, encryption, audit logging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Observability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Request traces, agent latency, retrieval quality, model drift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66A00"/>
          <w:left w:val="single" w:sz="8" w:space="0" w:color="A66A00"/>
          <w:bottom w:val="single" w:sz="8" w:space="0" w:color="A66A00"/>
          <w:right w:val="single" w:sz="8" w:space="0" w:color="A66A00"/>
          <w:insideH w:val="single" w:sz="8" w:space="0" w:color="A66A00"/>
          <w:insideV w:val="single" w:sz="8" w:space="0" w:color="A66A00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5E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A66A00"/>
                <w:sz w:val="21"/>
              </w:rPr>
              <w:t>Recommended progression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First package the existing application in Docker with a persistent volume. Then separate the API and frontend, move structured data to PostgreSQL, move documents to object storage, introduce managed vector search, and finally add multi-tenant security and billing.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Phase 2 Research Priorities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Point-in-time market and fundamental dataset with reproducible lineage.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Real 10-K, 10-Q, earnings-call, and news ingestion with ticker/date/page metadata.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Finance-specific embeddings, hybrid retrieval, reranking, and retrieval evaluation.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Walk-forward model validation, calibration, drift monitoring, and ablation studies.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Agent routing, parallel execution, confidence gating, and citation verification.</w:t>
      </w:r>
    </w:p>
    <w:p>
      <w:pPr>
        <w:pStyle w:val="ListBullet"/>
        <w:ind w:left="720" w:hanging="360"/>
      </w:pPr>
      <w:r>
        <w:rPr>
          <w:rFonts w:ascii="Calibri" w:hAnsi="Calibri"/>
          <w:color w:val="1F2933"/>
        </w:rPr>
        <w:t>Portfolio-level risk, personalization, alerts, and analyst workflow features.</w:t>
      </w:r>
    </w:p>
    <w:p>
      <w:r>
        <w:br w:type="page"/>
      </w:r>
    </w:p>
    <w:p>
      <w:pPr>
        <w:pStyle w:val="Heading1"/>
        <w:keepNext/>
      </w:pPr>
      <w:r>
        <w:t>10. Current Boundaries and Demo Runbook</w:t>
      </w:r>
    </w:p>
    <w:p>
      <w:pPr>
        <w:pStyle w:val="Heading2"/>
        <w:keepNext/>
      </w:pPr>
      <w:r>
        <w:t>What Is Implemented Now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Status</w:t>
            </w:r>
          </w:p>
        </w:tc>
        <w:tc>
          <w:tcPr>
            <w:tcW w:type="dxa" w:w="7660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Capability or boundary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10K US ticker universe and layered local storage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10K x 20 Phase 1 feature and label table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Trained risk and forecast baseline models with metrics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Persistent ChromaDB with 384-dimensional local embeddings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Retriever, Sentiment, Risk, Forecast, Decision, Explainability agents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Provider-agnostic GenAI layer and OpenAI adapter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Implemented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Local frontend, REST-style endpoints, and generated reports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Boundary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Most feature values and news are deterministic demo proxies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Boundary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RAG corpus is project/research material, not yet a broad filing corpus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Boundary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HTTP server has no authentication, HTTPS, quotas, or tenant isolation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Boundary</w:t>
            </w:r>
          </w:p>
        </w:tc>
        <w:tc>
          <w:tcPr>
            <w:tcW w:type="dxa" w:w="76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8"/>
              </w:rPr>
              <w:t>The decision score is educational and not a trading recommendation</w:t>
            </w:r>
          </w:p>
        </w:tc>
      </w:tr>
    </w:tbl>
    <w:p>
      <w:pPr>
        <w:pStyle w:val="Heading2"/>
        <w:keepNext/>
      </w:pPr>
      <w:r>
        <w:t>Mentor Demo Sequence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AD3DC"/>
          <w:left w:val="single" w:sz="6" w:space="0" w:color="CAD3DC"/>
          <w:bottom w:val="single" w:sz="6" w:space="0" w:color="CAD3DC"/>
          <w:right w:val="single" w:sz="6" w:space="0" w:color="CAD3DC"/>
          <w:insideH w:val="single" w:sz="6" w:space="0" w:color="CAD3DC"/>
          <w:insideV w:val="single" w:sz="6" w:space="0" w:color="CAD3DC"/>
        </w:tblBorders>
      </w:tblPr>
      <w:tblGrid>
        <w:gridCol w:w="700"/>
        <w:gridCol w:w="1900"/>
        <w:gridCol w:w="6760"/>
      </w:tblGrid>
      <w:tr>
        <w:trPr>
          <w:tblHeader w:val="true"/>
        </w:trPr>
        <w:tc>
          <w:tcPr>
            <w:tcW w:type="dxa" w:w="7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Step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Action</w:t>
            </w:r>
          </w:p>
        </w:tc>
        <w:tc>
          <w:tcPr>
            <w:tcW w:type="dxa" w:w="6760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7"/>
              </w:rPr>
              <w:t>Command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1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Initialize storage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setup_phase1_storage.py --min-count 10000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2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Build features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build_phase1_data.py --min-count 10000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3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Train models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train_phase1_models.py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4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Index RAG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index_phase1_rag.py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5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Test RAG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query_phase1_rag.py "What is implemented in Phase 1?"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6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Run agent demo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demo_phase1_agents.py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7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Start frontend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python frontend/server.py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8</w:t>
            </w:r>
          </w:p>
        </w:tc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Open dashboard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F2933"/>
                <w:sz w:val="17"/>
              </w:rPr>
              <w:t>http://127.0.0.1:8000</w:t>
            </w:r>
          </w:p>
        </w:tc>
      </w:tr>
    </w:tbl>
    <w:p>
      <w:pPr>
        <w:pStyle w:val="Heading2"/>
        <w:keepNext/>
      </w:pPr>
      <w:r>
        <w:t>Suggested Mentor Explanation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6827C"/>
          <w:left w:val="single" w:sz="8" w:space="0" w:color="16827C"/>
          <w:bottom w:val="single" w:sz="8" w:space="0" w:color="16827C"/>
          <w:right w:val="single" w:sz="8" w:space="0" w:color="16827C"/>
          <w:insideH w:val="single" w:sz="8" w:space="0" w:color="16827C"/>
          <w:insideV w:val="single" w:sz="8" w:space="0" w:color="16827C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E8F5F3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6827C"/>
                <w:sz w:val="21"/>
              </w:rPr>
              <w:t>Thirty-second summary</w:t>
            </w:r>
          </w:p>
          <w:p>
            <w:pPr>
              <w:spacing w:after="0"/>
            </w:pPr>
            <w:r>
              <w:rPr>
                <w:rFonts w:ascii="Calibri" w:hAnsi="Calibri"/>
                <w:color w:val="1F2933"/>
                <w:sz w:val="20"/>
              </w:rPr>
              <w:t>Phase 1 proves an end-to-end financial intelligence workflow at 10K-company scale. Persistent RAG grounds the answer in documents, trained baseline models provide risk and forecast signals, specialist agents keep responsibilities modular, and the explainability layer produces a traceable report. Phase 2 replaces proxy data with point-in-time financial data and evaluates retrieval, models, and agents rigorously.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D6B78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D6B78"/>
        <w:sz w:val="17"/>
      </w:rPr>
      <w:t>FINANCIAL INTELLIGENCE ENGINE  |  ARCHITECTURE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Financial Intelligence Engine - Application Architecture and Class Flow</dc:title>
  <dc:subject>Phase 1 technical architecture</dc:subject>
  <dc:creator>Financial Intelligence Engine Project</dc:creator>
  <cp:keywords>RAG, machine learning, multi-agent, financial intelligence, architecture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